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B7B01" w14:textId="399BF5FB" w:rsidR="00100C2A" w:rsidRDefault="00100C2A" w:rsidP="00100C2A">
      <w:pPr>
        <w:rPr>
          <w:b/>
          <w:bCs/>
        </w:rPr>
      </w:pPr>
      <w:r>
        <w:rPr>
          <w:b/>
          <w:bCs/>
        </w:rPr>
        <w:t xml:space="preserve">Shudan Jew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3.24.26</w:t>
      </w:r>
    </w:p>
    <w:p w14:paraId="20575C67" w14:textId="23A0C67D" w:rsidR="00D315C2" w:rsidRPr="00D315C2" w:rsidRDefault="008A3EC6" w:rsidP="00100C2A">
      <w:pPr>
        <w:jc w:val="center"/>
        <w:rPr>
          <w:b/>
          <w:bCs/>
        </w:rPr>
      </w:pPr>
      <w:r>
        <w:rPr>
          <w:b/>
          <w:bCs/>
        </w:rPr>
        <w:t>Week 5 Experimental Design</w:t>
      </w:r>
      <w:r w:rsidR="00100C2A">
        <w:rPr>
          <w:b/>
          <w:bCs/>
        </w:rPr>
        <w:t xml:space="preserve"> Write-Up</w:t>
      </w:r>
    </w:p>
    <w:p w14:paraId="7B7DC658" w14:textId="3B51A3EA" w:rsidR="00100C2A" w:rsidRDefault="00100C2A" w:rsidP="00100C2A">
      <w:pPr>
        <w:ind w:left="360" w:firstLine="360"/>
      </w:pPr>
      <w:r>
        <w:t>In the context of the data set taken from “</w:t>
      </w:r>
      <w:r w:rsidRPr="00100C2A">
        <w:rPr>
          <w:i/>
          <w:iCs/>
        </w:rPr>
        <w:t>YAP disrupts bile acid homeostasis to drive cancer-associated cachexia</w:t>
      </w:r>
      <w:r>
        <w:rPr>
          <w:i/>
          <w:iCs/>
        </w:rPr>
        <w:t xml:space="preserve">” </w:t>
      </w:r>
      <w:r>
        <w:t xml:space="preserve">by Webb et al., the biological question being investigated is the gene pathways associated with bile acid homeostasis and cachexia. In many cases of cancer, patients suffer from cachexia, a wasting syndrome that causes significant fat and muscle loss due to changes in metabolism and energy expenditure during illness. Bile acids break down lipids and allow fats to be digested and absorbed into the body for nutrients. It is theorized that Yes-associated protein (YAP) in the HIPPO pathway is linked to cachexia since it co-regulates liver cell life cycles. When the cell cycle is disrupted, it becomes difficult for the body to properly process nutrients, leading to starvation despite an abundance of food. Following Project 1’s exploratory analysis, the next step is to pull out the top differentially expressed genes and map the pathways they are associated with </w:t>
      </w:r>
      <w:proofErr w:type="gramStart"/>
      <w:r>
        <w:t>in order to</w:t>
      </w:r>
      <w:proofErr w:type="gramEnd"/>
      <w:r>
        <w:t xml:space="preserve"> see which are being affected by the treatment. </w:t>
      </w:r>
    </w:p>
    <w:p w14:paraId="198D284D" w14:textId="77777777" w:rsidR="00100C2A" w:rsidRDefault="00100C2A" w:rsidP="00100C2A">
      <w:pPr>
        <w:ind w:left="360" w:firstLine="360"/>
      </w:pPr>
      <w:r>
        <w:t xml:space="preserve">The two conditions that are being compared are </w:t>
      </w:r>
      <w:proofErr w:type="gramStart"/>
      <w:r>
        <w:t>healthy</w:t>
      </w:r>
      <w:proofErr w:type="gramEnd"/>
      <w:r>
        <w:t xml:space="preserve"> vs. diseased tissues from zebrafish. Zebrafish are considered a model animal used in laboratory experiments due to their biological similarity to humans. Humans and zebrafish share about 70% of the same conserved genes, and human diseases are easily replicated. The zebrafish being investigated in this experiment are a </w:t>
      </w:r>
      <w:proofErr w:type="gramStart"/>
      <w:r>
        <w:t>wildtype</w:t>
      </w:r>
      <w:proofErr w:type="gramEnd"/>
      <w:r>
        <w:t xml:space="preserve"> versus an experimental group that has cancer. The main line that the ontology analysis will handle is a transgenic SLC line, where the transporter gene family associated with the YAP protein has been inserted into the fish genome, to study the effect of pathway disruption in healthy and diseased fish.</w:t>
      </w:r>
    </w:p>
    <w:p w14:paraId="34C901EE" w14:textId="77777777" w:rsidR="00100C2A" w:rsidRDefault="00100C2A" w:rsidP="00100C2A">
      <w:pPr>
        <w:ind w:left="360" w:firstLine="360"/>
      </w:pPr>
      <w:r>
        <w:t xml:space="preserve">This comparison will hopefully lead to a better understanding of the pathways associated with chronic </w:t>
      </w:r>
      <w:proofErr w:type="gramStart"/>
      <w:r>
        <w:t>wasting</w:t>
      </w:r>
      <w:proofErr w:type="gramEnd"/>
      <w:r>
        <w:t xml:space="preserve"> and the comorbidity can be mitigated via drug treatment. In the paper, Webb et al. suggests stimulating bile acid production with the drug odevixibat, so testing gene expression in a control and drug-treated group may be a future direction. </w:t>
      </w:r>
    </w:p>
    <w:p w14:paraId="60AE9F50" w14:textId="5CE84966" w:rsidR="00100C2A" w:rsidRDefault="00100C2A" w:rsidP="00100C2A">
      <w:pPr>
        <w:ind w:left="360" w:firstLine="360"/>
      </w:pPr>
      <w:r>
        <w:t xml:space="preserve">There are 4 replicates in the wildtype SLC group and 5 replicates in the diseased SLC group. Zebra fish larvae were euthanized and pooled for DNA extraction, however, the paper does not disclose the exact number of larvae used for each sample, since the data being measured is being collected through sequencing. Each sample is independent. There may be batch effects since clutch siblings are used for controls to maintain known genetic conditions. </w:t>
      </w:r>
    </w:p>
    <w:p w14:paraId="1EB29D35" w14:textId="31869166" w:rsidR="00677469" w:rsidRDefault="00100C2A" w:rsidP="00100C2A">
      <w:pPr>
        <w:ind w:left="360" w:firstLine="360"/>
      </w:pPr>
      <w:r>
        <w:lastRenderedPageBreak/>
        <w:t xml:space="preserve">In Project 1, the statistical analysis assumes each group as independent samples, taking the </w:t>
      </w:r>
      <w:proofErr w:type="gramStart"/>
      <w:r>
        <w:t>mean</w:t>
      </w:r>
      <w:proofErr w:type="gramEnd"/>
      <w:r>
        <w:t xml:space="preserve"> of the wildtype and diseased groups, and running an independent samples t-test. To account for the negative binomial distribution (overdispersion) in RNA-seq data, a log2 fold-change is applied for normalization. The replicates are essential to demonstrate cohesive results and to ensure that the sequencing is dependable. The null hypothesis was that there is no significant difference (p &gt; 0.05) between the </w:t>
      </w:r>
      <w:proofErr w:type="gramStart"/>
      <w:r>
        <w:t>wildtype</w:t>
      </w:r>
      <w:proofErr w:type="gramEnd"/>
      <w:r>
        <w:t xml:space="preserve"> and diseased groups. Evidence against the null hypothesis would be a p-value of less than 0.05 </w:t>
      </w:r>
      <w:proofErr w:type="gramStart"/>
      <w:r>
        <w:t>as a result of</w:t>
      </w:r>
      <w:proofErr w:type="gramEnd"/>
      <w:r>
        <w:t xml:space="preserve"> testing the two groups. </w:t>
      </w:r>
    </w:p>
    <w:p w14:paraId="0876A06A" w14:textId="141C7126" w:rsidR="00100C2A" w:rsidRDefault="00100C2A" w:rsidP="00100C2A">
      <w:pPr>
        <w:ind w:left="360" w:firstLine="360"/>
      </w:pPr>
      <w:r>
        <w:t xml:space="preserve">The next portion of this project will focus on the gene ontology (what pathways are associated and what the genes do) of the top 10 differentially expressed genes to further explore what is happening metabolically inside of a diseased cell versus a healthy cell. This will be taken from the list generated previously </w:t>
      </w:r>
      <w:proofErr w:type="gramStart"/>
      <w:r>
        <w:t>( using</w:t>
      </w:r>
      <w:proofErr w:type="gramEnd"/>
      <w:r>
        <w:t xml:space="preserve"> a log2FC threshold) from the volcano plot pipeline. </w:t>
      </w:r>
    </w:p>
    <w:p w14:paraId="47DB3102" w14:textId="010A408F" w:rsidR="00100C2A" w:rsidRDefault="00100C2A" w:rsidP="00100C2A">
      <w:pPr>
        <w:ind w:left="360" w:firstLine="360"/>
      </w:pPr>
      <w:r>
        <w:t xml:space="preserve">See Project 1 HTML file. </w:t>
      </w:r>
    </w:p>
    <w:sectPr w:rsidR="00100C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7A1F8" w14:textId="77777777" w:rsidR="00C84BA5" w:rsidRDefault="00C84BA5" w:rsidP="00100C2A">
      <w:pPr>
        <w:spacing w:after="0" w:line="240" w:lineRule="auto"/>
      </w:pPr>
      <w:r>
        <w:separator/>
      </w:r>
    </w:p>
  </w:endnote>
  <w:endnote w:type="continuationSeparator" w:id="0">
    <w:p w14:paraId="41A2E363" w14:textId="77777777" w:rsidR="00C84BA5" w:rsidRDefault="00C84BA5" w:rsidP="00100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E9E1D" w14:textId="77777777" w:rsidR="00C84BA5" w:rsidRDefault="00C84BA5" w:rsidP="00100C2A">
      <w:pPr>
        <w:spacing w:after="0" w:line="240" w:lineRule="auto"/>
      </w:pPr>
      <w:r>
        <w:separator/>
      </w:r>
    </w:p>
  </w:footnote>
  <w:footnote w:type="continuationSeparator" w:id="0">
    <w:p w14:paraId="4BCC4D65" w14:textId="77777777" w:rsidR="00C84BA5" w:rsidRDefault="00C84BA5" w:rsidP="00100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A08"/>
    <w:multiLevelType w:val="multilevel"/>
    <w:tmpl w:val="77020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F6E32"/>
    <w:multiLevelType w:val="multilevel"/>
    <w:tmpl w:val="995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3B1FEB"/>
    <w:multiLevelType w:val="multilevel"/>
    <w:tmpl w:val="4F8C0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236E0"/>
    <w:multiLevelType w:val="multilevel"/>
    <w:tmpl w:val="DEA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461248">
    <w:abstractNumId w:val="0"/>
  </w:num>
  <w:num w:numId="2" w16cid:durableId="917790908">
    <w:abstractNumId w:val="1"/>
  </w:num>
  <w:num w:numId="3" w16cid:durableId="1760056591">
    <w:abstractNumId w:val="2"/>
  </w:num>
  <w:num w:numId="4" w16cid:durableId="1429498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469"/>
    <w:rsid w:val="00100C2A"/>
    <w:rsid w:val="001A7287"/>
    <w:rsid w:val="00487A7B"/>
    <w:rsid w:val="00487BDD"/>
    <w:rsid w:val="00677469"/>
    <w:rsid w:val="008A3EC6"/>
    <w:rsid w:val="00C84BA5"/>
    <w:rsid w:val="00D315C2"/>
    <w:rsid w:val="00F7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B46DB"/>
  <w15:chartTrackingRefBased/>
  <w15:docId w15:val="{46137083-4AB3-4B26-AE26-801984DC4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469"/>
    <w:rPr>
      <w:rFonts w:eastAsiaTheme="majorEastAsia" w:cstheme="majorBidi"/>
      <w:color w:val="272727" w:themeColor="text1" w:themeTint="D8"/>
    </w:rPr>
  </w:style>
  <w:style w:type="paragraph" w:styleId="Title">
    <w:name w:val="Title"/>
    <w:basedOn w:val="Normal"/>
    <w:next w:val="Normal"/>
    <w:link w:val="TitleChar"/>
    <w:uiPriority w:val="10"/>
    <w:qFormat/>
    <w:rsid w:val="0067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469"/>
    <w:pPr>
      <w:spacing w:before="160"/>
      <w:jc w:val="center"/>
    </w:pPr>
    <w:rPr>
      <w:i/>
      <w:iCs/>
      <w:color w:val="404040" w:themeColor="text1" w:themeTint="BF"/>
    </w:rPr>
  </w:style>
  <w:style w:type="character" w:customStyle="1" w:styleId="QuoteChar">
    <w:name w:val="Quote Char"/>
    <w:basedOn w:val="DefaultParagraphFont"/>
    <w:link w:val="Quote"/>
    <w:uiPriority w:val="29"/>
    <w:rsid w:val="00677469"/>
    <w:rPr>
      <w:i/>
      <w:iCs/>
      <w:color w:val="404040" w:themeColor="text1" w:themeTint="BF"/>
    </w:rPr>
  </w:style>
  <w:style w:type="paragraph" w:styleId="ListParagraph">
    <w:name w:val="List Paragraph"/>
    <w:basedOn w:val="Normal"/>
    <w:uiPriority w:val="34"/>
    <w:qFormat/>
    <w:rsid w:val="00677469"/>
    <w:pPr>
      <w:ind w:left="720"/>
      <w:contextualSpacing/>
    </w:pPr>
  </w:style>
  <w:style w:type="character" w:styleId="IntenseEmphasis">
    <w:name w:val="Intense Emphasis"/>
    <w:basedOn w:val="DefaultParagraphFont"/>
    <w:uiPriority w:val="21"/>
    <w:qFormat/>
    <w:rsid w:val="00677469"/>
    <w:rPr>
      <w:i/>
      <w:iCs/>
      <w:color w:val="0F4761" w:themeColor="accent1" w:themeShade="BF"/>
    </w:rPr>
  </w:style>
  <w:style w:type="paragraph" w:styleId="IntenseQuote">
    <w:name w:val="Intense Quote"/>
    <w:basedOn w:val="Normal"/>
    <w:next w:val="Normal"/>
    <w:link w:val="IntenseQuoteChar"/>
    <w:uiPriority w:val="30"/>
    <w:qFormat/>
    <w:rsid w:val="00677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469"/>
    <w:rPr>
      <w:i/>
      <w:iCs/>
      <w:color w:val="0F4761" w:themeColor="accent1" w:themeShade="BF"/>
    </w:rPr>
  </w:style>
  <w:style w:type="character" w:styleId="IntenseReference">
    <w:name w:val="Intense Reference"/>
    <w:basedOn w:val="DefaultParagraphFont"/>
    <w:uiPriority w:val="32"/>
    <w:qFormat/>
    <w:rsid w:val="00677469"/>
    <w:rPr>
      <w:b/>
      <w:bCs/>
      <w:smallCaps/>
      <w:color w:val="0F4761" w:themeColor="accent1" w:themeShade="BF"/>
      <w:spacing w:val="5"/>
    </w:rPr>
  </w:style>
  <w:style w:type="paragraph" w:styleId="Header">
    <w:name w:val="header"/>
    <w:basedOn w:val="Normal"/>
    <w:link w:val="HeaderChar"/>
    <w:uiPriority w:val="99"/>
    <w:unhideWhenUsed/>
    <w:rsid w:val="00100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C2A"/>
  </w:style>
  <w:style w:type="paragraph" w:styleId="Footer">
    <w:name w:val="footer"/>
    <w:basedOn w:val="Normal"/>
    <w:link w:val="FooterChar"/>
    <w:uiPriority w:val="99"/>
    <w:unhideWhenUsed/>
    <w:rsid w:val="00100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C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982</TotalTime>
  <Pages>2</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Shudan Jew</dc:creator>
  <cp:keywords/>
  <dc:description/>
  <cp:lastModifiedBy>Shudan Jew</cp:lastModifiedBy>
  <cp:revision>5</cp:revision>
  <dcterms:created xsi:type="dcterms:W3CDTF">2026-03-23T00:26:00Z</dcterms:created>
  <dcterms:modified xsi:type="dcterms:W3CDTF">2026-03-24T22:54:00Z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044e5db0-1b32-42c5-a019-a8f5669532e8</vt:lpwstr>
  </property>
</Properties>
</file>