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pPr>
      <w:r>
        <w:rPr>
          <w:b/>
        </w:rPr>
        <w:t>PRODUCT STRATEGY  /  CHROME EXTENSION + OPTIONAL WEB APP</w:t>
      </w:r>
    </w:p>
    <w:p>
      <w:pPr>
        <w:pStyle w:val="Title"/>
      </w:pPr>
      <w:r>
        <w:t>WebJourney | Development Plan</w:t>
      </w:r>
    </w:p>
    <w:p>
      <w:r>
        <w:rPr>
          <w:b/>
          <w:color w:val="10736F"/>
          <w:sz w:val="24"/>
        </w:rPr>
        <w:t>Implementation architecture, delivery phases, quality gates and task backlog.</w:t>
      </w:r>
    </w:p>
    <w:p>
      <w:pPr>
        <w:pStyle w:val="SmallNote"/>
      </w:pPr>
      <w:r>
        <w:t>Planning document • Version 1.0 • September 2026</w:t>
      </w:r>
    </w:p>
    <w:p>
      <w:pPr>
        <w:pStyle w:val="SmallNote"/>
      </w:pPr>
      <w:r>
        <w:t>Status: proposed product and implementation decisions; not an existing released application.</w:t>
      </w:r>
    </w:p>
    <w:p/>
    <w:tbl>
      <w:tblPr>
        <w:tblW w:type="auto" w:w="0"/>
        <w:tblLook w:firstColumn="1" w:firstRow="1" w:lastColumn="0" w:lastRow="0" w:noHBand="0" w:noVBand="1" w:val="04A0"/>
      </w:tblPr>
      <w:tblGrid>
        <w:gridCol w:w="9820"/>
      </w:tblGrid>
      <w:tr>
        <w:tc>
          <w:tcPr>
            <w:tcW w:type="dxa" w:w="9820"/>
            <w:shd w:fill="E7F3F0"/>
          </w:tcPr>
          <w:p>
            <w:r/>
            <w:r>
              <w:rPr>
                <w:b/>
                <w:color w:val="10736F"/>
              </w:rPr>
              <w:t xml:space="preserve">Delivery objective  </w:t>
            </w:r>
            <w:r>
              <w:t>Ship an extension-first MVP for authoring and following safe, versioned multi-page journeys on a defined set of compatible websites.</w:t>
            </w:r>
          </w:p>
        </w:tc>
      </w:tr>
    </w:tbl>
    <w:p/>
    <w:p>
      <w:pPr>
        <w:pStyle w:val="Heading1"/>
      </w:pPr>
      <w:r>
        <w:t>1. Delivery assumptions and non-goals</w:t>
      </w:r>
    </w:p>
    <w:p>
      <w:pPr>
        <w:pStyle w:val="ListBullet"/>
      </w:pPr>
      <w:r>
        <w:t>One developer or small team; effort estimates are indicative engineering weeks and exclude long design-review cycles.</w:t>
      </w:r>
    </w:p>
    <w:p>
      <w:pPr>
        <w:pStyle w:val="ListBullet"/>
      </w:pPr>
      <w:r>
        <w:t>Chrome desktop is the first supported browser; Firefox, Edge and mobile browsers are not launch commitments.</w:t>
      </w:r>
    </w:p>
    <w:p>
      <w:pPr>
        <w:pStyle w:val="ListBullet"/>
      </w:pPr>
      <w:r>
        <w:t>Both author and learner use the extension; “no extension required” requires a separate SDK installed by a website owner.</w:t>
      </w:r>
    </w:p>
    <w:p>
      <w:pPr>
        <w:pStyle w:val="ListBullet"/>
      </w:pPr>
      <w:r>
        <w:t>Test initially against a controlled demo application plus one real permissioned staging site; expand compatibility by evidence.</w:t>
      </w:r>
    </w:p>
    <w:p>
      <w:pPr>
        <w:pStyle w:val="ListBullet"/>
      </w:pPr>
      <w:r>
        <w:t>MVP does not replay recorded user actions, read passwords, automatically submit forms or inject arbitrary code into websites.</w:t>
      </w:r>
    </w:p>
    <w:p>
      <w:pPr>
        <w:pStyle w:val="Heading1"/>
      </w:pPr>
      <w:r>
        <w:t>2. Recommended implementation stack</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trPr>
        <w:tc>
          <w:tcPr>
            <w:tcW w:type="dxa" w:w="3273"/>
            <w:shd w:fill="16334C"/>
          </w:tcPr>
          <w:p>
            <w:pPr>
              <w:spacing w:after="0"/>
            </w:pPr>
            <w:r>
              <w:rPr>
                <w:b/>
                <w:color w:val="FFFFFF"/>
                <w:sz w:val="17"/>
              </w:rPr>
              <w:t>Layer</w:t>
            </w:r>
          </w:p>
        </w:tc>
        <w:tc>
          <w:tcPr>
            <w:tcW w:type="dxa" w:w="3273"/>
            <w:shd w:fill="16334C"/>
          </w:tcPr>
          <w:p>
            <w:pPr>
              <w:spacing w:after="0"/>
            </w:pPr>
            <w:r>
              <w:rPr>
                <w:b/>
                <w:color w:val="FFFFFF"/>
                <w:sz w:val="17"/>
              </w:rPr>
              <w:t>Recommended choice</w:t>
            </w:r>
          </w:p>
        </w:tc>
        <w:tc>
          <w:tcPr>
            <w:tcW w:type="dxa" w:w="3273"/>
            <w:shd w:fill="16334C"/>
          </w:tcPr>
          <w:p>
            <w:pPr>
              <w:spacing w:after="0"/>
            </w:pPr>
            <w:r>
              <w:rPr>
                <w:b/>
                <w:color w:val="FFFFFF"/>
                <w:sz w:val="17"/>
              </w:rPr>
              <w:t>Responsibility / note</w:t>
            </w:r>
          </w:p>
        </w:tc>
      </w:tr>
      <w:tr>
        <w:tc>
          <w:tcPr>
            <w:tcW w:type="dxa" w:w="3273"/>
            <w:vAlign w:val="center"/>
          </w:tcPr>
          <w:p>
            <w:pPr>
              <w:spacing w:after="0"/>
            </w:pPr>
            <w:r>
              <w:rPr>
                <w:sz w:val="16"/>
              </w:rPr>
              <w:t>Extension</w:t>
            </w:r>
          </w:p>
        </w:tc>
        <w:tc>
          <w:tcPr>
            <w:tcW w:type="dxa" w:w="3273"/>
            <w:vAlign w:val="center"/>
          </w:tcPr>
          <w:p>
            <w:pPr>
              <w:spacing w:after="0"/>
            </w:pPr>
            <w:r>
              <w:rPr>
                <w:sz w:val="16"/>
              </w:rPr>
              <w:t>Manifest V3, TypeScript, Vite, React or Vue 3</w:t>
            </w:r>
          </w:p>
        </w:tc>
        <w:tc>
          <w:tcPr>
            <w:tcW w:type="dxa" w:w="3273"/>
            <w:vAlign w:val="center"/>
          </w:tcPr>
          <w:p>
            <w:pPr>
              <w:spacing w:after="0"/>
            </w:pPr>
            <w:r>
              <w:rPr>
                <w:sz w:val="16"/>
              </w:rPr>
              <w:t>Popup, side panel, content scripts, service worker; framework choice may follow team expertise.</w:t>
            </w:r>
          </w:p>
        </w:tc>
      </w:tr>
      <w:tr>
        <w:tc>
          <w:tcPr>
            <w:tcW w:type="dxa" w:w="3273"/>
            <w:vAlign w:val="center"/>
            <w:shd w:fill="F0F5F6"/>
          </w:tcPr>
          <w:p>
            <w:pPr>
              <w:spacing w:after="0"/>
            </w:pPr>
            <w:r>
              <w:rPr>
                <w:sz w:val="16"/>
              </w:rPr>
              <w:t>UI primitives</w:t>
            </w:r>
          </w:p>
        </w:tc>
        <w:tc>
          <w:tcPr>
            <w:tcW w:type="dxa" w:w="3273"/>
            <w:vAlign w:val="center"/>
            <w:shd w:fill="F0F5F6"/>
          </w:tcPr>
          <w:p>
            <w:pPr>
              <w:spacing w:after="0"/>
            </w:pPr>
            <w:r>
              <w:rPr>
                <w:sz w:val="16"/>
              </w:rPr>
              <w:t>Scoped CSS + Shadow DOM where feasible</w:t>
            </w:r>
          </w:p>
        </w:tc>
        <w:tc>
          <w:tcPr>
            <w:tcW w:type="dxa" w:w="3273"/>
            <w:vAlign w:val="center"/>
            <w:shd w:fill="F0F5F6"/>
          </w:tcPr>
          <w:p>
            <w:pPr>
              <w:spacing w:after="0"/>
            </w:pPr>
            <w:r>
              <w:rPr>
                <w:sz w:val="16"/>
              </w:rPr>
              <w:t>Prevent host-page styles from corrupting WebJourney overlay.</w:t>
            </w:r>
          </w:p>
        </w:tc>
      </w:tr>
      <w:tr>
        <w:tc>
          <w:tcPr>
            <w:tcW w:type="dxa" w:w="3273"/>
            <w:vAlign w:val="center"/>
          </w:tcPr>
          <w:p>
            <w:pPr>
              <w:spacing w:after="0"/>
            </w:pPr>
            <w:r>
              <w:rPr>
                <w:sz w:val="16"/>
              </w:rPr>
              <w:t>State</w:t>
            </w:r>
          </w:p>
        </w:tc>
        <w:tc>
          <w:tcPr>
            <w:tcW w:type="dxa" w:w="3273"/>
            <w:vAlign w:val="center"/>
          </w:tcPr>
          <w:p>
            <w:pPr>
              <w:spacing w:after="0"/>
            </w:pPr>
            <w:r>
              <w:rPr>
                <w:sz w:val="16"/>
              </w:rPr>
              <w:t>Typed finite-state step engine + local extension storage</w:t>
            </w:r>
          </w:p>
        </w:tc>
        <w:tc>
          <w:tcPr>
            <w:tcW w:type="dxa" w:w="3273"/>
            <w:vAlign w:val="center"/>
          </w:tcPr>
          <w:p>
            <w:pPr>
              <w:spacing w:after="0"/>
            </w:pPr>
            <w:r>
              <w:rPr>
                <w:sz w:val="16"/>
              </w:rPr>
              <w:t>Separate journey-authoring, playback and persisted run state.</w:t>
            </w:r>
          </w:p>
        </w:tc>
      </w:tr>
      <w:tr>
        <w:tc>
          <w:tcPr>
            <w:tcW w:type="dxa" w:w="3273"/>
            <w:vAlign w:val="center"/>
            <w:shd w:fill="F0F5F6"/>
          </w:tcPr>
          <w:p>
            <w:pPr>
              <w:spacing w:after="0"/>
            </w:pPr>
            <w:r>
              <w:rPr>
                <w:sz w:val="16"/>
              </w:rPr>
              <w:t>Backend</w:t>
            </w:r>
          </w:p>
        </w:tc>
        <w:tc>
          <w:tcPr>
            <w:tcW w:type="dxa" w:w="3273"/>
            <w:vAlign w:val="center"/>
            <w:shd w:fill="F0F5F6"/>
          </w:tcPr>
          <w:p>
            <w:pPr>
              <w:spacing w:after="0"/>
            </w:pPr>
            <w:r>
              <w:rPr>
                <w:sz w:val="16"/>
              </w:rPr>
              <w:t>Node.js (Fastify/NestJS) or Laravel API</w:t>
            </w:r>
          </w:p>
        </w:tc>
        <w:tc>
          <w:tcPr>
            <w:tcW w:type="dxa" w:w="3273"/>
            <w:vAlign w:val="center"/>
            <w:shd w:fill="F0F5F6"/>
          </w:tcPr>
          <w:p>
            <w:pPr>
              <w:spacing w:after="0"/>
            </w:pPr>
            <w:r>
              <w:rPr>
                <w:sz w:val="16"/>
              </w:rPr>
              <w:t>Pick one; provide auth, published versions, invitations and access control.</w:t>
            </w:r>
          </w:p>
        </w:tc>
      </w:tr>
      <w:tr>
        <w:tc>
          <w:tcPr>
            <w:tcW w:type="dxa" w:w="3273"/>
            <w:vAlign w:val="center"/>
          </w:tcPr>
          <w:p>
            <w:pPr>
              <w:spacing w:after="0"/>
            </w:pPr>
            <w:r>
              <w:rPr>
                <w:sz w:val="16"/>
              </w:rPr>
              <w:t>Database</w:t>
            </w:r>
          </w:p>
        </w:tc>
        <w:tc>
          <w:tcPr>
            <w:tcW w:type="dxa" w:w="3273"/>
            <w:vAlign w:val="center"/>
          </w:tcPr>
          <w:p>
            <w:pPr>
              <w:spacing w:after="0"/>
            </w:pPr>
            <w:r>
              <w:rPr>
                <w:sz w:val="16"/>
              </w:rPr>
              <w:t>PostgreSQL or MySQL</w:t>
            </w:r>
          </w:p>
        </w:tc>
        <w:tc>
          <w:tcPr>
            <w:tcW w:type="dxa" w:w="3273"/>
            <w:vAlign w:val="center"/>
          </w:tcPr>
          <w:p>
            <w:pPr>
              <w:spacing w:after="0"/>
            </w:pPr>
            <w:r>
              <w:rPr>
                <w:sz w:val="16"/>
              </w:rPr>
              <w:t>Users, journeys, versions, invitations, runs and issues.</w:t>
            </w:r>
          </w:p>
        </w:tc>
      </w:tr>
      <w:tr>
        <w:tc>
          <w:tcPr>
            <w:tcW w:type="dxa" w:w="3273"/>
            <w:vAlign w:val="center"/>
            <w:shd w:fill="F0F5F6"/>
          </w:tcPr>
          <w:p>
            <w:pPr>
              <w:spacing w:after="0"/>
            </w:pPr>
            <w:r>
              <w:rPr>
                <w:sz w:val="16"/>
              </w:rPr>
              <w:t>Realtime</w:t>
            </w:r>
          </w:p>
        </w:tc>
        <w:tc>
          <w:tcPr>
            <w:tcW w:type="dxa" w:w="3273"/>
            <w:vAlign w:val="center"/>
            <w:shd w:fill="F0F5F6"/>
          </w:tcPr>
          <w:p>
            <w:pPr>
              <w:spacing w:after="0"/>
            </w:pPr>
            <w:r>
              <w:rPr>
                <w:sz w:val="16"/>
              </w:rPr>
              <w:t>Not required for MVP</w:t>
            </w:r>
          </w:p>
        </w:tc>
        <w:tc>
          <w:tcPr>
            <w:tcW w:type="dxa" w:w="3273"/>
            <w:vAlign w:val="center"/>
            <w:shd w:fill="F0F5F6"/>
          </w:tcPr>
          <w:p>
            <w:pPr>
              <w:spacing w:after="0"/>
            </w:pPr>
            <w:r>
              <w:rPr>
                <w:sz w:val="16"/>
              </w:rPr>
              <w:t>Use request/response; collaboration and live coaching can arrive later.</w:t>
            </w:r>
          </w:p>
        </w:tc>
      </w:tr>
      <w:tr>
        <w:tc>
          <w:tcPr>
            <w:tcW w:type="dxa" w:w="3273"/>
            <w:vAlign w:val="center"/>
          </w:tcPr>
          <w:p>
            <w:pPr>
              <w:spacing w:after="0"/>
            </w:pPr>
            <w:r>
              <w:rPr>
                <w:sz w:val="16"/>
              </w:rPr>
              <w:t>Tests</w:t>
            </w:r>
          </w:p>
        </w:tc>
        <w:tc>
          <w:tcPr>
            <w:tcW w:type="dxa" w:w="3273"/>
            <w:vAlign w:val="center"/>
          </w:tcPr>
          <w:p>
            <w:pPr>
              <w:spacing w:after="0"/>
            </w:pPr>
            <w:r>
              <w:rPr>
                <w:sz w:val="16"/>
              </w:rPr>
              <w:t>Vitest + Playwright + API tests</w:t>
            </w:r>
          </w:p>
        </w:tc>
        <w:tc>
          <w:tcPr>
            <w:tcW w:type="dxa" w:w="3273"/>
            <w:vAlign w:val="center"/>
          </w:tcPr>
          <w:p>
            <w:pPr>
              <w:spacing w:after="0"/>
            </w:pPr>
            <w:r>
              <w:rPr>
                <w:sz w:val="16"/>
              </w:rPr>
              <w:t>Unit selectors and state engine; E2E use controlled demo pages.</w:t>
            </w:r>
          </w:p>
        </w:tc>
      </w:tr>
      <w:tr>
        <w:tc>
          <w:tcPr>
            <w:tcW w:type="dxa" w:w="3273"/>
            <w:vAlign w:val="center"/>
            <w:shd w:fill="F0F5F6"/>
          </w:tcPr>
          <w:p>
            <w:pPr>
              <w:spacing w:after="0"/>
            </w:pPr>
            <w:r>
              <w:rPr>
                <w:sz w:val="16"/>
              </w:rPr>
              <w:t>Deploy</w:t>
            </w:r>
          </w:p>
        </w:tc>
        <w:tc>
          <w:tcPr>
            <w:tcW w:type="dxa" w:w="3273"/>
            <w:vAlign w:val="center"/>
            <w:shd w:fill="F0F5F6"/>
          </w:tcPr>
          <w:p>
            <w:pPr>
              <w:spacing w:after="0"/>
            </w:pPr>
            <w:r>
              <w:rPr>
                <w:sz w:val="16"/>
              </w:rPr>
              <w:t>Managed API + database; Chrome Web Store</w:t>
            </w:r>
          </w:p>
        </w:tc>
        <w:tc>
          <w:tcPr>
            <w:tcW w:type="dxa" w:w="3273"/>
            <w:vAlign w:val="center"/>
            <w:shd w:fill="F0F5F6"/>
          </w:tcPr>
          <w:p>
            <w:pPr>
              <w:spacing w:after="0"/>
            </w:pPr>
            <w:r>
              <w:rPr>
                <w:sz w:val="16"/>
              </w:rPr>
              <w:t>HTTPS endpoint, secret management and privacy disclosure.</w:t>
            </w:r>
          </w:p>
        </w:tc>
      </w:tr>
      <w:tr>
        <w:tc>
          <w:tcPr>
            <w:tcW w:type="dxa" w:w="3273"/>
            <w:vAlign w:val="center"/>
          </w:tcPr>
          <w:p>
            <w:pPr>
              <w:spacing w:after="0"/>
            </w:pPr>
            <w:r>
              <w:rPr>
                <w:sz w:val="16"/>
              </w:rPr>
              <w:t>Monitoring</w:t>
            </w:r>
          </w:p>
        </w:tc>
        <w:tc>
          <w:tcPr>
            <w:tcW w:type="dxa" w:w="3273"/>
            <w:vAlign w:val="center"/>
          </w:tcPr>
          <w:p>
            <w:pPr>
              <w:spacing w:after="0"/>
            </w:pPr>
            <w:r>
              <w:rPr>
                <w:sz w:val="16"/>
              </w:rPr>
              <w:t>Structured error logging without sensitive page content</w:t>
            </w:r>
          </w:p>
        </w:tc>
        <w:tc>
          <w:tcPr>
            <w:tcW w:type="dxa" w:w="3273"/>
            <w:vAlign w:val="center"/>
          </w:tcPr>
          <w:p>
            <w:pPr>
              <w:spacing w:after="0"/>
            </w:pPr>
            <w:r>
              <w:rPr>
                <w:sz w:val="16"/>
              </w:rPr>
              <w:t>Observe failures, abuse and extension/backend compatibility.</w:t>
            </w:r>
          </w:p>
        </w:tc>
      </w:tr>
    </w:tbl>
    <w:p/>
    <w:p>
      <w:pPr>
        <w:pStyle w:val="Heading1"/>
      </w:pPr>
      <w:r>
        <w:t>3. System architecture and trust boundaries</w:t>
      </w:r>
    </w:p>
    <w:p>
      <w:r>
        <w:t>Extension popup/side panel is the control interface. A content script is injected only into approved origins to run element picking and an isolated player overlay. The MV3 service worker coordinates permissions and message passing, but cannot be assumed to remain alive continuously; persist durable state to extension storage. The backend stores definitions, version snapshots, invitation metadata and optional learner progress. It does not need to receive captured page content or form values.</w:t>
      </w:r>
    </w:p>
    <w:p>
      <w:r>
        <w:t>Flow: Author UI ⇄ service worker ⇄ origin-scoped content script ⇄ current webpage. Publishing: Author UI ⇄ authenticated API ⇄ database. Playback: invite → authorize origin → fetch immutable journey version → content script resolves target → player observes declared completion → persist minimal progress.</w:t>
      </w:r>
    </w:p>
    <w:p>
      <w:pPr>
        <w:pStyle w:val="Heading1"/>
      </w:pPr>
      <w:r>
        <w:t>4. Repository structure</w:t>
      </w:r>
    </w:p>
    <w:p>
      <w:r>
        <w:t>Suggested monorepo; use existing project conventions rather than introducing monorepo tooling solely for its own sake:</w:t>
      </w:r>
    </w:p>
    <w:tbl>
      <w:tblPr>
        <w:tblStyle w:val="TableGrid"/>
        <w:tblW w:type="auto" w:w="0"/>
        <w:jc w:val="center"/>
        <w:tblLayout w:type="autofit"/>
        <w:tblLook w:firstColumn="1" w:firstRow="1" w:lastColumn="0" w:lastRow="0" w:noHBand="0" w:noVBand="1" w:val="04A0"/>
      </w:tblPr>
      <w:tblGrid>
        <w:gridCol w:w="4910"/>
        <w:gridCol w:w="4910"/>
      </w:tblGrid>
      <w:tr>
        <w:trPr>
          <w:tblHeader/>
        </w:trPr>
        <w:tc>
          <w:tcPr>
            <w:tcW w:type="dxa" w:w="4910"/>
            <w:shd w:fill="16334C"/>
          </w:tcPr>
          <w:p>
            <w:pPr>
              <w:spacing w:after="0"/>
            </w:pPr>
            <w:r>
              <w:rPr>
                <w:b/>
                <w:color w:val="FFFFFF"/>
                <w:sz w:val="17"/>
              </w:rPr>
              <w:t>Path</w:t>
            </w:r>
          </w:p>
        </w:tc>
        <w:tc>
          <w:tcPr>
            <w:tcW w:type="dxa" w:w="4910"/>
            <w:shd w:fill="16334C"/>
          </w:tcPr>
          <w:p>
            <w:pPr>
              <w:spacing w:after="0"/>
            </w:pPr>
            <w:r>
              <w:rPr>
                <w:b/>
                <w:color w:val="FFFFFF"/>
                <w:sz w:val="17"/>
              </w:rPr>
              <w:t>Purpose</w:t>
            </w:r>
          </w:p>
        </w:tc>
      </w:tr>
      <w:tr>
        <w:tc>
          <w:tcPr>
            <w:tcW w:type="dxa" w:w="4910"/>
            <w:vAlign w:val="center"/>
          </w:tcPr>
          <w:p>
            <w:pPr>
              <w:spacing w:after="0"/>
            </w:pPr>
            <w:r>
              <w:rPr>
                <w:sz w:val="16"/>
              </w:rPr>
              <w:t>apps/extension/</w:t>
            </w:r>
          </w:p>
        </w:tc>
        <w:tc>
          <w:tcPr>
            <w:tcW w:type="dxa" w:w="4910"/>
            <w:vAlign w:val="center"/>
          </w:tcPr>
          <w:p>
            <w:pPr>
              <w:spacing w:after="0"/>
            </w:pPr>
            <w:r>
              <w:rPr>
                <w:sz w:val="16"/>
              </w:rPr>
              <w:t>Manifest, popup, side panel, background service worker, content scripts, overlays.</w:t>
            </w:r>
          </w:p>
        </w:tc>
      </w:tr>
      <w:tr>
        <w:tc>
          <w:tcPr>
            <w:tcW w:type="dxa" w:w="4910"/>
            <w:vAlign w:val="center"/>
            <w:shd w:fill="F0F5F6"/>
          </w:tcPr>
          <w:p>
            <w:pPr>
              <w:spacing w:after="0"/>
            </w:pPr>
            <w:r>
              <w:rPr>
                <w:sz w:val="16"/>
              </w:rPr>
              <w:t>apps/api/</w:t>
            </w:r>
          </w:p>
        </w:tc>
        <w:tc>
          <w:tcPr>
            <w:tcW w:type="dxa" w:w="4910"/>
            <w:vAlign w:val="center"/>
            <w:shd w:fill="F0F5F6"/>
          </w:tcPr>
          <w:p>
            <w:pPr>
              <w:spacing w:after="0"/>
            </w:pPr>
            <w:r>
              <w:rPr>
                <w:sz w:val="16"/>
              </w:rPr>
              <w:t>Auth, journey/version endpoints, sharing, access control, persistence.</w:t>
            </w:r>
          </w:p>
        </w:tc>
      </w:tr>
      <w:tr>
        <w:tc>
          <w:tcPr>
            <w:tcW w:type="dxa" w:w="4910"/>
            <w:vAlign w:val="center"/>
          </w:tcPr>
          <w:p>
            <w:pPr>
              <w:spacing w:after="0"/>
            </w:pPr>
            <w:r>
              <w:rPr>
                <w:sz w:val="16"/>
              </w:rPr>
              <w:t>apps/demo-site/</w:t>
            </w:r>
          </w:p>
        </w:tc>
        <w:tc>
          <w:tcPr>
            <w:tcW w:type="dxa" w:w="4910"/>
            <w:vAlign w:val="center"/>
          </w:tcPr>
          <w:p>
            <w:pPr>
              <w:spacing w:after="0"/>
            </w:pPr>
            <w:r>
              <w:rPr>
                <w:sz w:val="16"/>
              </w:rPr>
              <w:t>Controlled multi-page app with forms, SPA navigation, dynamic components and test fixtures.</w:t>
            </w:r>
          </w:p>
        </w:tc>
      </w:tr>
      <w:tr>
        <w:tc>
          <w:tcPr>
            <w:tcW w:type="dxa" w:w="4910"/>
            <w:vAlign w:val="center"/>
            <w:shd w:fill="F0F5F6"/>
          </w:tcPr>
          <w:p>
            <w:pPr>
              <w:spacing w:after="0"/>
            </w:pPr>
            <w:r>
              <w:rPr>
                <w:sz w:val="16"/>
              </w:rPr>
              <w:t>packages/journey-schema/</w:t>
            </w:r>
          </w:p>
        </w:tc>
        <w:tc>
          <w:tcPr>
            <w:tcW w:type="dxa" w:w="4910"/>
            <w:vAlign w:val="center"/>
            <w:shd w:fill="F0F5F6"/>
          </w:tcPr>
          <w:p>
            <w:pPr>
              <w:spacing w:after="0"/>
            </w:pPr>
            <w:r>
              <w:rPr>
                <w:sz w:val="16"/>
              </w:rPr>
              <w:t>Validated shared types, migration/version rules and safe serialization.</w:t>
            </w:r>
          </w:p>
        </w:tc>
      </w:tr>
      <w:tr>
        <w:tc>
          <w:tcPr>
            <w:tcW w:type="dxa" w:w="4910"/>
            <w:vAlign w:val="center"/>
          </w:tcPr>
          <w:p>
            <w:pPr>
              <w:spacing w:after="0"/>
            </w:pPr>
            <w:r>
              <w:rPr>
                <w:sz w:val="16"/>
              </w:rPr>
              <w:t>packages/step-engine/</w:t>
            </w:r>
          </w:p>
        </w:tc>
        <w:tc>
          <w:tcPr>
            <w:tcW w:type="dxa" w:w="4910"/>
            <w:vAlign w:val="center"/>
          </w:tcPr>
          <w:p>
            <w:pPr>
              <w:spacing w:after="0"/>
            </w:pPr>
            <w:r>
              <w:rPr>
                <w:sz w:val="16"/>
              </w:rPr>
              <w:t>Pure step transitions, completion predicates and target resolution.</w:t>
            </w:r>
          </w:p>
        </w:tc>
      </w:tr>
      <w:tr>
        <w:tc>
          <w:tcPr>
            <w:tcW w:type="dxa" w:w="4910"/>
            <w:vAlign w:val="center"/>
            <w:shd w:fill="F0F5F6"/>
          </w:tcPr>
          <w:p>
            <w:pPr>
              <w:spacing w:after="0"/>
            </w:pPr>
            <w:r>
              <w:rPr>
                <w:sz w:val="16"/>
              </w:rPr>
              <w:t>packages/ui/ (optional)</w:t>
            </w:r>
          </w:p>
        </w:tc>
        <w:tc>
          <w:tcPr>
            <w:tcW w:type="dxa" w:w="4910"/>
            <w:vAlign w:val="center"/>
            <w:shd w:fill="F0F5F6"/>
          </w:tcPr>
          <w:p>
            <w:pPr>
              <w:spacing w:after="0"/>
            </w:pPr>
            <w:r>
              <w:rPr>
                <w:sz w:val="16"/>
              </w:rPr>
              <w:t>Common extension UI components without leaking page styles.</w:t>
            </w:r>
          </w:p>
        </w:tc>
      </w:tr>
      <w:tr>
        <w:tc>
          <w:tcPr>
            <w:tcW w:type="dxa" w:w="4910"/>
            <w:vAlign w:val="center"/>
          </w:tcPr>
          <w:p>
            <w:pPr>
              <w:spacing w:after="0"/>
            </w:pPr>
            <w:r>
              <w:rPr>
                <w:sz w:val="16"/>
              </w:rPr>
              <w:t>docs/</w:t>
            </w:r>
          </w:p>
        </w:tc>
        <w:tc>
          <w:tcPr>
            <w:tcW w:type="dxa" w:w="4910"/>
            <w:vAlign w:val="center"/>
          </w:tcPr>
          <w:p>
            <w:pPr>
              <w:spacing w:after="0"/>
            </w:pPr>
            <w:r>
              <w:rPr>
                <w:sz w:val="16"/>
              </w:rPr>
              <w:t>ADR decisions, browser limitations, privacy policy, QA matrix and release checklist.</w:t>
            </w:r>
          </w:p>
        </w:tc>
      </w:tr>
    </w:tbl>
    <w:p/>
    <w:p>
      <w:pPr>
        <w:pStyle w:val="Heading1"/>
      </w:pPr>
      <w:r>
        <w:t>5. Data model (proposed)</w:t>
      </w:r>
    </w:p>
    <w:tbl>
      <w:tblPr>
        <w:tblStyle w:val="TableGrid"/>
        <w:tblW w:type="auto" w:w="0"/>
        <w:jc w:val="center"/>
        <w:tblLayout w:type="autofit"/>
        <w:tblLook w:firstColumn="1" w:firstRow="1" w:lastColumn="0" w:lastRow="0" w:noHBand="0" w:noVBand="1" w:val="04A0"/>
      </w:tblPr>
      <w:tblGrid>
        <w:gridCol w:w="4910"/>
        <w:gridCol w:w="4910"/>
      </w:tblGrid>
      <w:tr>
        <w:trPr>
          <w:tblHeader/>
        </w:trPr>
        <w:tc>
          <w:tcPr>
            <w:tcW w:type="dxa" w:w="4910"/>
            <w:shd w:fill="16334C"/>
          </w:tcPr>
          <w:p>
            <w:pPr>
              <w:spacing w:after="0"/>
            </w:pPr>
            <w:r>
              <w:rPr>
                <w:b/>
                <w:color w:val="FFFFFF"/>
                <w:sz w:val="17"/>
              </w:rPr>
              <w:t>Entity</w:t>
            </w:r>
          </w:p>
        </w:tc>
        <w:tc>
          <w:tcPr>
            <w:tcW w:type="dxa" w:w="4910"/>
            <w:shd w:fill="16334C"/>
          </w:tcPr>
          <w:p>
            <w:pPr>
              <w:spacing w:after="0"/>
            </w:pPr>
            <w:r>
              <w:rPr>
                <w:b/>
                <w:color w:val="FFFFFF"/>
                <w:sz w:val="17"/>
              </w:rPr>
              <w:t>Core fields / rules</w:t>
            </w:r>
          </w:p>
        </w:tc>
      </w:tr>
      <w:tr>
        <w:tc>
          <w:tcPr>
            <w:tcW w:type="dxa" w:w="4910"/>
            <w:vAlign w:val="center"/>
          </w:tcPr>
          <w:p>
            <w:pPr>
              <w:spacing w:after="0"/>
            </w:pPr>
            <w:r>
              <w:rPr>
                <w:sz w:val="16"/>
              </w:rPr>
              <w:t>users</w:t>
            </w:r>
          </w:p>
        </w:tc>
        <w:tc>
          <w:tcPr>
            <w:tcW w:type="dxa" w:w="4910"/>
            <w:vAlign w:val="center"/>
          </w:tcPr>
          <w:p>
            <w:pPr>
              <w:spacing w:after="0"/>
            </w:pPr>
            <w:r>
              <w:rPr>
                <w:sz w:val="16"/>
              </w:rPr>
              <w:t>id, email, auth provider, created_at; not required for local draft mode.</w:t>
            </w:r>
          </w:p>
        </w:tc>
      </w:tr>
      <w:tr>
        <w:tc>
          <w:tcPr>
            <w:tcW w:type="dxa" w:w="4910"/>
            <w:vAlign w:val="center"/>
            <w:shd w:fill="F0F5F6"/>
          </w:tcPr>
          <w:p>
            <w:pPr>
              <w:spacing w:after="0"/>
            </w:pPr>
            <w:r>
              <w:rPr>
                <w:sz w:val="16"/>
              </w:rPr>
              <w:t>journeys</w:t>
            </w:r>
          </w:p>
        </w:tc>
        <w:tc>
          <w:tcPr>
            <w:tcW w:type="dxa" w:w="4910"/>
            <w:vAlign w:val="center"/>
            <w:shd w:fill="F0F5F6"/>
          </w:tcPr>
          <w:p>
            <w:pPr>
              <w:spacing w:after="0"/>
            </w:pPr>
            <w:r>
              <w:rPr>
                <w:sz w:val="16"/>
              </w:rPr>
              <w:t>id, owner_id, name, description, allowed_origins, status, latest_version_id.</w:t>
            </w:r>
          </w:p>
        </w:tc>
      </w:tr>
      <w:tr>
        <w:tc>
          <w:tcPr>
            <w:tcW w:type="dxa" w:w="4910"/>
            <w:vAlign w:val="center"/>
          </w:tcPr>
          <w:p>
            <w:pPr>
              <w:spacing w:after="0"/>
            </w:pPr>
            <w:r>
              <w:rPr>
                <w:sz w:val="16"/>
              </w:rPr>
              <w:t>journey_versions</w:t>
            </w:r>
          </w:p>
        </w:tc>
        <w:tc>
          <w:tcPr>
            <w:tcW w:type="dxa" w:w="4910"/>
            <w:vAlign w:val="center"/>
          </w:tcPr>
          <w:p>
            <w:pPr>
              <w:spacing w:after="0"/>
            </w:pPr>
            <w:r>
              <w:rPr>
                <w:sz w:val="16"/>
              </w:rPr>
              <w:t>id, journey_id, version_no, immutable steps JSON, schema_version, published_at.</w:t>
            </w:r>
          </w:p>
        </w:tc>
      </w:tr>
      <w:tr>
        <w:tc>
          <w:tcPr>
            <w:tcW w:type="dxa" w:w="4910"/>
            <w:vAlign w:val="center"/>
            <w:shd w:fill="F0F5F6"/>
          </w:tcPr>
          <w:p>
            <w:pPr>
              <w:spacing w:after="0"/>
            </w:pPr>
            <w:r>
              <w:rPr>
                <w:sz w:val="16"/>
              </w:rPr>
              <w:t>steps (inside version payload)</w:t>
            </w:r>
          </w:p>
        </w:tc>
        <w:tc>
          <w:tcPr>
            <w:tcW w:type="dxa" w:w="4910"/>
            <w:vAlign w:val="center"/>
            <w:shd w:fill="F0F5F6"/>
          </w:tcPr>
          <w:p>
            <w:pPr>
              <w:spacing w:after="0"/>
            </w:pPr>
            <w:r>
              <w:rPr>
                <w:sz w:val="16"/>
              </w:rPr>
              <w:t>id, order, allowed origin, URL matcher, action type, target fingerprint, instruction, timeouts, fallback.</w:t>
            </w:r>
          </w:p>
        </w:tc>
      </w:tr>
      <w:tr>
        <w:tc>
          <w:tcPr>
            <w:tcW w:type="dxa" w:w="4910"/>
            <w:vAlign w:val="center"/>
          </w:tcPr>
          <w:p>
            <w:pPr>
              <w:spacing w:after="0"/>
            </w:pPr>
            <w:r>
              <w:rPr>
                <w:sz w:val="16"/>
              </w:rPr>
              <w:t>invitations</w:t>
            </w:r>
          </w:p>
        </w:tc>
        <w:tc>
          <w:tcPr>
            <w:tcW w:type="dxa" w:w="4910"/>
            <w:vAlign w:val="center"/>
          </w:tcPr>
          <w:p>
            <w:pPr>
              <w:spacing w:after="0"/>
            </w:pPr>
            <w:r>
              <w:rPr>
                <w:sz w:val="16"/>
              </w:rPr>
              <w:t>token_hash, journey_version_id, access policy, expires_at, revoked_at; do not store raw token.</w:t>
            </w:r>
          </w:p>
        </w:tc>
      </w:tr>
      <w:tr>
        <w:tc>
          <w:tcPr>
            <w:tcW w:type="dxa" w:w="4910"/>
            <w:vAlign w:val="center"/>
            <w:shd w:fill="F0F5F6"/>
          </w:tcPr>
          <w:p>
            <w:pPr>
              <w:spacing w:after="0"/>
            </w:pPr>
            <w:r>
              <w:rPr>
                <w:sz w:val="16"/>
              </w:rPr>
              <w:t>runs</w:t>
            </w:r>
          </w:p>
        </w:tc>
        <w:tc>
          <w:tcPr>
            <w:tcW w:type="dxa" w:w="4910"/>
            <w:vAlign w:val="center"/>
            <w:shd w:fill="F0F5F6"/>
          </w:tcPr>
          <w:p>
            <w:pPr>
              <w:spacing w:after="0"/>
            </w:pPr>
            <w:r>
              <w:rPr>
                <w:sz w:val="16"/>
              </w:rPr>
              <w:t>id, version_id, learner reference optional, current_step, status, minimal timestamps, expires_at.</w:t>
            </w:r>
          </w:p>
        </w:tc>
      </w:tr>
      <w:tr>
        <w:tc>
          <w:tcPr>
            <w:tcW w:type="dxa" w:w="4910"/>
            <w:vAlign w:val="center"/>
          </w:tcPr>
          <w:p>
            <w:pPr>
              <w:spacing w:after="0"/>
            </w:pPr>
            <w:r>
              <w:rPr>
                <w:sz w:val="16"/>
              </w:rPr>
              <w:t>step_issues</w:t>
            </w:r>
          </w:p>
        </w:tc>
        <w:tc>
          <w:tcPr>
            <w:tcW w:type="dxa" w:w="4910"/>
            <w:vAlign w:val="center"/>
          </w:tcPr>
          <w:p>
            <w:pPr>
              <w:spacing w:after="0"/>
            </w:pPr>
            <w:r>
              <w:rPr>
                <w:sz w:val="16"/>
              </w:rPr>
              <w:t>id, version_id, step_id, failure code, timestamp, minimal diagnostic fingerprint; no field values.</w:t>
            </w:r>
          </w:p>
        </w:tc>
      </w:tr>
      <w:tr>
        <w:tc>
          <w:tcPr>
            <w:tcW w:type="dxa" w:w="4910"/>
            <w:vAlign w:val="center"/>
            <w:shd w:fill="F0F5F6"/>
          </w:tcPr>
          <w:p>
            <w:pPr>
              <w:spacing w:after="0"/>
            </w:pPr>
            <w:r>
              <w:rPr>
                <w:sz w:val="16"/>
              </w:rPr>
              <w:t>audit_events (later)</w:t>
            </w:r>
          </w:p>
        </w:tc>
        <w:tc>
          <w:tcPr>
            <w:tcW w:type="dxa" w:w="4910"/>
            <w:vAlign w:val="center"/>
            <w:shd w:fill="F0F5F6"/>
          </w:tcPr>
          <w:p>
            <w:pPr>
              <w:spacing w:after="0"/>
            </w:pPr>
            <w:r>
              <w:rPr>
                <w:sz w:val="16"/>
              </w:rPr>
              <w:t>Who changed/published/unpublished a journey and when.</w:t>
            </w:r>
          </w:p>
        </w:tc>
      </w:tr>
    </w:tbl>
    <w:p/>
    <w:p>
      <w:pPr>
        <w:pStyle w:val="Heading1"/>
      </w:pPr>
      <w:r>
        <w:t>6. Journey schema and compatibility contract</w:t>
      </w:r>
    </w:p>
    <w:p>
      <w:r>
        <w:t>Define a versioned, validated schema before building the visual editor. Store immutable published versions. Reject unsupported action types and disallowed origins at both API and extension boundaries. Data must never contain executable JavaScript or opaque instructions to scrape page data.</w:t>
      </w:r>
    </w:p>
    <w:tbl>
      <w:tblPr>
        <w:tblStyle w:val="TableGrid"/>
        <w:tblW w:type="auto" w:w="0"/>
        <w:jc w:val="center"/>
        <w:tblLayout w:type="autofit"/>
        <w:tblLook w:firstColumn="1" w:firstRow="1" w:lastColumn="0" w:lastRow="0" w:noHBand="0" w:noVBand="1" w:val="04A0"/>
      </w:tblPr>
      <w:tblGrid>
        <w:gridCol w:w="4910"/>
        <w:gridCol w:w="4910"/>
      </w:tblGrid>
      <w:tr>
        <w:trPr>
          <w:tblHeader/>
        </w:trPr>
        <w:tc>
          <w:tcPr>
            <w:tcW w:type="dxa" w:w="4910"/>
            <w:shd w:fill="16334C"/>
          </w:tcPr>
          <w:p>
            <w:pPr>
              <w:spacing w:after="0"/>
            </w:pPr>
            <w:r>
              <w:rPr>
                <w:b/>
                <w:color w:val="FFFFFF"/>
                <w:sz w:val="17"/>
              </w:rPr>
              <w:t>Field</w:t>
            </w:r>
          </w:p>
        </w:tc>
        <w:tc>
          <w:tcPr>
            <w:tcW w:type="dxa" w:w="4910"/>
            <w:shd w:fill="16334C"/>
          </w:tcPr>
          <w:p>
            <w:pPr>
              <w:spacing w:after="0"/>
            </w:pPr>
            <w:r>
              <w:rPr>
                <w:b/>
                <w:color w:val="FFFFFF"/>
                <w:sz w:val="17"/>
              </w:rPr>
              <w:t>Example / rule</w:t>
            </w:r>
          </w:p>
        </w:tc>
      </w:tr>
      <w:tr>
        <w:tc>
          <w:tcPr>
            <w:tcW w:type="dxa" w:w="4910"/>
            <w:vAlign w:val="center"/>
          </w:tcPr>
          <w:p>
            <w:pPr>
              <w:spacing w:after="0"/>
            </w:pPr>
            <w:r>
              <w:rPr>
                <w:sz w:val="16"/>
              </w:rPr>
              <w:t>schemaVersion</w:t>
            </w:r>
          </w:p>
        </w:tc>
        <w:tc>
          <w:tcPr>
            <w:tcW w:type="dxa" w:w="4910"/>
            <w:vAlign w:val="center"/>
          </w:tcPr>
          <w:p>
            <w:pPr>
              <w:spacing w:after="0"/>
            </w:pPr>
            <w:r>
              <w:rPr>
                <w:sz w:val="16"/>
              </w:rPr>
              <w:t>1 — an explicit number for future migrations.</w:t>
            </w:r>
          </w:p>
        </w:tc>
      </w:tr>
      <w:tr>
        <w:tc>
          <w:tcPr>
            <w:tcW w:type="dxa" w:w="4910"/>
            <w:vAlign w:val="center"/>
            <w:shd w:fill="F0F5F6"/>
          </w:tcPr>
          <w:p>
            <w:pPr>
              <w:spacing w:after="0"/>
            </w:pPr>
            <w:r>
              <w:rPr>
                <w:sz w:val="16"/>
              </w:rPr>
              <w:t>allowedOrigins</w:t>
            </w:r>
          </w:p>
        </w:tc>
        <w:tc>
          <w:tcPr>
            <w:tcW w:type="dxa" w:w="4910"/>
            <w:vAlign w:val="center"/>
            <w:shd w:fill="F0F5F6"/>
          </w:tcPr>
          <w:p>
            <w:pPr>
              <w:spacing w:after="0"/>
            </w:pPr>
            <w:r>
              <w:rPr>
                <w:sz w:val="16"/>
              </w:rPr>
              <w:t>["https://demo.example.com"] — exact allowed origins, not arbitrary URLs.</w:t>
            </w:r>
          </w:p>
        </w:tc>
      </w:tr>
      <w:tr>
        <w:tc>
          <w:tcPr>
            <w:tcW w:type="dxa" w:w="4910"/>
            <w:vAlign w:val="center"/>
          </w:tcPr>
          <w:p>
            <w:pPr>
              <w:spacing w:after="0"/>
            </w:pPr>
            <w:r>
              <w:rPr>
                <w:sz w:val="16"/>
              </w:rPr>
              <w:t>startUrl</w:t>
            </w:r>
          </w:p>
        </w:tc>
        <w:tc>
          <w:tcPr>
            <w:tcW w:type="dxa" w:w="4910"/>
            <w:vAlign w:val="center"/>
          </w:tcPr>
          <w:p>
            <w:pPr>
              <w:spacing w:after="0"/>
            </w:pPr>
            <w:r>
              <w:rPr>
                <w:sz w:val="16"/>
              </w:rPr>
              <w:t>A concrete URL on an allowed origin.</w:t>
            </w:r>
          </w:p>
        </w:tc>
      </w:tr>
      <w:tr>
        <w:tc>
          <w:tcPr>
            <w:tcW w:type="dxa" w:w="4910"/>
            <w:vAlign w:val="center"/>
            <w:shd w:fill="F0F5F6"/>
          </w:tcPr>
          <w:p>
            <w:pPr>
              <w:spacing w:after="0"/>
            </w:pPr>
            <w:r>
              <w:rPr>
                <w:sz w:val="16"/>
              </w:rPr>
              <w:t>steps[i].action</w:t>
            </w:r>
          </w:p>
        </w:tc>
        <w:tc>
          <w:tcPr>
            <w:tcW w:type="dxa" w:w="4910"/>
            <w:vAlign w:val="center"/>
            <w:shd w:fill="F0F5F6"/>
          </w:tcPr>
          <w:p>
            <w:pPr>
              <w:spacing w:after="0"/>
            </w:pPr>
            <w:r>
              <w:rPr>
                <w:sz w:val="16"/>
              </w:rPr>
              <w:t>click | field-complete | navigation | manual.</w:t>
            </w:r>
          </w:p>
        </w:tc>
      </w:tr>
      <w:tr>
        <w:tc>
          <w:tcPr>
            <w:tcW w:type="dxa" w:w="4910"/>
            <w:vAlign w:val="center"/>
          </w:tcPr>
          <w:p>
            <w:pPr>
              <w:spacing w:after="0"/>
            </w:pPr>
            <w:r>
              <w:rPr>
                <w:sz w:val="16"/>
              </w:rPr>
              <w:t>steps[i].target</w:t>
            </w:r>
          </w:p>
        </w:tc>
        <w:tc>
          <w:tcPr>
            <w:tcW w:type="dxa" w:w="4910"/>
            <w:vAlign w:val="center"/>
          </w:tcPr>
          <w:p>
            <w:pPr>
              <w:spacing w:after="0"/>
            </w:pPr>
            <w:r>
              <w:rPr>
                <w:sz w:val="16"/>
              </w:rPr>
              <w:t>Bounded selector candidates and semantic fingerprint, never script source.</w:t>
            </w:r>
          </w:p>
        </w:tc>
      </w:tr>
      <w:tr>
        <w:tc>
          <w:tcPr>
            <w:tcW w:type="dxa" w:w="4910"/>
            <w:vAlign w:val="center"/>
            <w:shd w:fill="F0F5F6"/>
          </w:tcPr>
          <w:p>
            <w:pPr>
              <w:spacing w:after="0"/>
            </w:pPr>
            <w:r>
              <w:rPr>
                <w:sz w:val="16"/>
              </w:rPr>
              <w:t>steps[i].completion</w:t>
            </w:r>
          </w:p>
        </w:tc>
        <w:tc>
          <w:tcPr>
            <w:tcW w:type="dxa" w:w="4910"/>
            <w:vAlign w:val="center"/>
            <w:shd w:fill="F0F5F6"/>
          </w:tcPr>
          <w:p>
            <w:pPr>
              <w:spacing w:after="0"/>
            </w:pPr>
            <w:r>
              <w:rPr>
                <w:sz w:val="16"/>
              </w:rPr>
              <w:t>Structured predicate validated against an allowlist.</w:t>
            </w:r>
          </w:p>
        </w:tc>
      </w:tr>
      <w:tr>
        <w:tc>
          <w:tcPr>
            <w:tcW w:type="dxa" w:w="4910"/>
            <w:vAlign w:val="center"/>
          </w:tcPr>
          <w:p>
            <w:pPr>
              <w:spacing w:after="0"/>
            </w:pPr>
            <w:r>
              <w:rPr>
                <w:sz w:val="16"/>
              </w:rPr>
              <w:t>steps[i].failure</w:t>
            </w:r>
          </w:p>
        </w:tc>
        <w:tc>
          <w:tcPr>
            <w:tcW w:type="dxa" w:w="4910"/>
            <w:vAlign w:val="center"/>
          </w:tcPr>
          <w:p>
            <w:pPr>
              <w:spacing w:after="0"/>
            </w:pPr>
            <w:r>
              <w:rPr>
                <w:sz w:val="16"/>
              </w:rPr>
              <w:t>Timeout and retry/manual fallback policy.</w:t>
            </w:r>
          </w:p>
        </w:tc>
      </w:tr>
    </w:tbl>
    <w:p/>
    <w:p>
      <w:pPr>
        <w:pStyle w:val="Heading1"/>
      </w:pPr>
      <w:r>
        <w:t>7. Workstreams and milestone plan</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trPr>
        <w:tc>
          <w:tcPr>
            <w:tcW w:type="dxa" w:w="3273"/>
            <w:shd w:fill="16334C"/>
          </w:tcPr>
          <w:p>
            <w:pPr>
              <w:spacing w:after="0"/>
            </w:pPr>
            <w:r>
              <w:rPr>
                <w:b/>
                <w:color w:val="FFFFFF"/>
                <w:sz w:val="17"/>
              </w:rPr>
              <w:t>Phase</w:t>
            </w:r>
          </w:p>
        </w:tc>
        <w:tc>
          <w:tcPr>
            <w:tcW w:type="dxa" w:w="3273"/>
            <w:shd w:fill="16334C"/>
          </w:tcPr>
          <w:p>
            <w:pPr>
              <w:spacing w:after="0"/>
            </w:pPr>
            <w:r>
              <w:rPr>
                <w:b/>
                <w:color w:val="FFFFFF"/>
                <w:sz w:val="17"/>
              </w:rPr>
              <w:t>Indicative duration</w:t>
            </w:r>
          </w:p>
        </w:tc>
        <w:tc>
          <w:tcPr>
            <w:tcW w:type="dxa" w:w="3273"/>
            <w:shd w:fill="16334C"/>
          </w:tcPr>
          <w:p>
            <w:pPr>
              <w:spacing w:after="0"/>
            </w:pPr>
            <w:r>
              <w:rPr>
                <w:b/>
                <w:color w:val="FFFFFF"/>
                <w:sz w:val="17"/>
              </w:rPr>
              <w:t>Outcome / exit gate</w:t>
            </w:r>
          </w:p>
        </w:tc>
      </w:tr>
      <w:tr>
        <w:tc>
          <w:tcPr>
            <w:tcW w:type="dxa" w:w="3273"/>
            <w:vAlign w:val="center"/>
          </w:tcPr>
          <w:p>
            <w:pPr>
              <w:spacing w:after="0"/>
            </w:pPr>
            <w:r>
              <w:rPr>
                <w:sz w:val="16"/>
              </w:rPr>
              <w:t>0. Discovery &amp; proof</w:t>
            </w:r>
          </w:p>
        </w:tc>
        <w:tc>
          <w:tcPr>
            <w:tcW w:type="dxa" w:w="3273"/>
            <w:vAlign w:val="center"/>
          </w:tcPr>
          <w:p>
            <w:pPr>
              <w:spacing w:after="0"/>
            </w:pPr>
            <w:r>
              <w:rPr>
                <w:sz w:val="16"/>
              </w:rPr>
              <w:t>1 week</w:t>
            </w:r>
          </w:p>
        </w:tc>
        <w:tc>
          <w:tcPr>
            <w:tcW w:type="dxa" w:w="3273"/>
            <w:vAlign w:val="center"/>
          </w:tcPr>
          <w:p>
            <w:pPr>
              <w:spacing w:after="0"/>
            </w:pPr>
            <w:r>
              <w:rPr>
                <w:sz w:val="16"/>
              </w:rPr>
              <w:t>Permissions and DOM injection proven on demo + staging; known unsupported contexts listed.</w:t>
            </w:r>
          </w:p>
        </w:tc>
      </w:tr>
      <w:tr>
        <w:tc>
          <w:tcPr>
            <w:tcW w:type="dxa" w:w="3273"/>
            <w:vAlign w:val="center"/>
            <w:shd w:fill="F0F5F6"/>
          </w:tcPr>
          <w:p>
            <w:pPr>
              <w:spacing w:after="0"/>
            </w:pPr>
            <w:r>
              <w:rPr>
                <w:sz w:val="16"/>
              </w:rPr>
              <w:t>1. Foundation</w:t>
            </w:r>
          </w:p>
        </w:tc>
        <w:tc>
          <w:tcPr>
            <w:tcW w:type="dxa" w:w="3273"/>
            <w:vAlign w:val="center"/>
            <w:shd w:fill="F0F5F6"/>
          </w:tcPr>
          <w:p>
            <w:pPr>
              <w:spacing w:after="0"/>
            </w:pPr>
            <w:r>
              <w:rPr>
                <w:sz w:val="16"/>
              </w:rPr>
              <w:t>1–2 weeks</w:t>
            </w:r>
          </w:p>
        </w:tc>
        <w:tc>
          <w:tcPr>
            <w:tcW w:type="dxa" w:w="3273"/>
            <w:vAlign w:val="center"/>
            <w:shd w:fill="F0F5F6"/>
          </w:tcPr>
          <w:p>
            <w:pPr>
              <w:spacing w:after="0"/>
            </w:pPr>
            <w:r>
              <w:rPr>
                <w:sz w:val="16"/>
              </w:rPr>
              <w:t>Monorepo, MV3 shell, typed messaging, shared schema, CI and API skeleton.</w:t>
            </w:r>
          </w:p>
        </w:tc>
      </w:tr>
      <w:tr>
        <w:tc>
          <w:tcPr>
            <w:tcW w:type="dxa" w:w="3273"/>
            <w:vAlign w:val="center"/>
          </w:tcPr>
          <w:p>
            <w:pPr>
              <w:spacing w:after="0"/>
            </w:pPr>
            <w:r>
              <w:rPr>
                <w:sz w:val="16"/>
              </w:rPr>
              <w:t>2. Authoring builder</w:t>
            </w:r>
          </w:p>
        </w:tc>
        <w:tc>
          <w:tcPr>
            <w:tcW w:type="dxa" w:w="3273"/>
            <w:vAlign w:val="center"/>
          </w:tcPr>
          <w:p>
            <w:pPr>
              <w:spacing w:after="0"/>
            </w:pPr>
            <w:r>
              <w:rPr>
                <w:sz w:val="16"/>
              </w:rPr>
              <w:t>2–3 weeks</w:t>
            </w:r>
          </w:p>
        </w:tc>
        <w:tc>
          <w:tcPr>
            <w:tcW w:type="dxa" w:w="3273"/>
            <w:vAlign w:val="center"/>
          </w:tcPr>
          <w:p>
            <w:pPr>
              <w:spacing w:after="0"/>
            </w:pPr>
            <w:r>
              <w:rPr>
                <w:sz w:val="16"/>
              </w:rPr>
              <w:t>Create/edit/preview five-step journey with reliable visual picker and local drafts.</w:t>
            </w:r>
          </w:p>
        </w:tc>
      </w:tr>
      <w:tr>
        <w:tc>
          <w:tcPr>
            <w:tcW w:type="dxa" w:w="3273"/>
            <w:vAlign w:val="center"/>
            <w:shd w:fill="F0F5F6"/>
          </w:tcPr>
          <w:p>
            <w:pPr>
              <w:spacing w:after="0"/>
            </w:pPr>
            <w:r>
              <w:rPr>
                <w:sz w:val="16"/>
              </w:rPr>
              <w:t>3. Playback engine</w:t>
            </w:r>
          </w:p>
        </w:tc>
        <w:tc>
          <w:tcPr>
            <w:tcW w:type="dxa" w:w="3273"/>
            <w:vAlign w:val="center"/>
            <w:shd w:fill="F0F5F6"/>
          </w:tcPr>
          <w:p>
            <w:pPr>
              <w:spacing w:after="0"/>
            </w:pPr>
            <w:r>
              <w:rPr>
                <w:sz w:val="16"/>
              </w:rPr>
              <w:t>2–3 weeks</w:t>
            </w:r>
          </w:p>
        </w:tc>
        <w:tc>
          <w:tcPr>
            <w:tcW w:type="dxa" w:w="3273"/>
            <w:vAlign w:val="center"/>
            <w:shd w:fill="F0F5F6"/>
          </w:tcPr>
          <w:p>
            <w:pPr>
              <w:spacing w:after="0"/>
            </w:pPr>
            <w:r>
              <w:rPr>
                <w:sz w:val="16"/>
              </w:rPr>
              <w:t>Click, field-complete, navigation and manual steps; pause, retry, resume.</w:t>
            </w:r>
          </w:p>
        </w:tc>
      </w:tr>
      <w:tr>
        <w:tc>
          <w:tcPr>
            <w:tcW w:type="dxa" w:w="3273"/>
            <w:vAlign w:val="center"/>
          </w:tcPr>
          <w:p>
            <w:pPr>
              <w:spacing w:after="0"/>
            </w:pPr>
            <w:r>
              <w:rPr>
                <w:sz w:val="16"/>
              </w:rPr>
              <w:t>4. Publishing &amp; sharing</w:t>
            </w:r>
          </w:p>
        </w:tc>
        <w:tc>
          <w:tcPr>
            <w:tcW w:type="dxa" w:w="3273"/>
            <w:vAlign w:val="center"/>
          </w:tcPr>
          <w:p>
            <w:pPr>
              <w:spacing w:after="0"/>
            </w:pPr>
            <w:r>
              <w:rPr>
                <w:sz w:val="16"/>
              </w:rPr>
              <w:t>1–2 weeks</w:t>
            </w:r>
          </w:p>
        </w:tc>
        <w:tc>
          <w:tcPr>
            <w:tcW w:type="dxa" w:w="3273"/>
            <w:vAlign w:val="center"/>
          </w:tcPr>
          <w:p>
            <w:pPr>
              <w:spacing w:after="0"/>
            </w:pPr>
            <w:r>
              <w:rPr>
                <w:sz w:val="16"/>
              </w:rPr>
              <w:t>Auth, immutable versions, scoped share link, invitation redemption.</w:t>
            </w:r>
          </w:p>
        </w:tc>
      </w:tr>
      <w:tr>
        <w:tc>
          <w:tcPr>
            <w:tcW w:type="dxa" w:w="3273"/>
            <w:vAlign w:val="center"/>
            <w:shd w:fill="F0F5F6"/>
          </w:tcPr>
          <w:p>
            <w:pPr>
              <w:spacing w:after="0"/>
            </w:pPr>
            <w:r>
              <w:rPr>
                <w:sz w:val="16"/>
              </w:rPr>
              <w:t>5. QA, privacy, release</w:t>
            </w:r>
          </w:p>
        </w:tc>
        <w:tc>
          <w:tcPr>
            <w:tcW w:type="dxa" w:w="3273"/>
            <w:vAlign w:val="center"/>
            <w:shd w:fill="F0F5F6"/>
          </w:tcPr>
          <w:p>
            <w:pPr>
              <w:spacing w:after="0"/>
            </w:pPr>
            <w:r>
              <w:rPr>
                <w:sz w:val="16"/>
              </w:rPr>
              <w:t>2 weeks</w:t>
            </w:r>
          </w:p>
        </w:tc>
        <w:tc>
          <w:tcPr>
            <w:tcW w:type="dxa" w:w="3273"/>
            <w:vAlign w:val="center"/>
            <w:shd w:fill="F0F5F6"/>
          </w:tcPr>
          <w:p>
            <w:pPr>
              <w:spacing w:after="0"/>
            </w:pPr>
            <w:r>
              <w:rPr>
                <w:sz w:val="16"/>
              </w:rPr>
              <w:t>Full acceptance matrix, accessibility, Web Store review package, telemetry and rollback plan.</w:t>
            </w:r>
          </w:p>
        </w:tc>
      </w:tr>
    </w:tbl>
    <w:p/>
    <w:p>
      <w:pPr>
        <w:pStyle w:val="SmallNote"/>
      </w:pPr>
      <w:r>
        <w:t>Indicative overall MVP: about 9–13 engineering weeks with some workstreams overlapping. Re-estimate after the phase-0 proof because third-party DOM variability and browser-policy review can materially change scope.</w:t>
      </w:r>
    </w:p>
    <w:p>
      <w:pPr>
        <w:pStyle w:val="Heading1"/>
      </w:pPr>
      <w:r>
        <w:t>8. Detailed task backlog</w:t>
      </w:r>
    </w:p>
    <w:p>
      <w:pPr>
        <w:pStyle w:val="Heading2"/>
      </w:pPr>
      <w:r>
        <w:t>Phase 0 — Technical feasibility &amp; decisions</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trPr>
        <w:tc>
          <w:tcPr>
            <w:tcW w:type="dxa" w:w="3273"/>
            <w:shd w:fill="16334C"/>
          </w:tcPr>
          <w:p>
            <w:pPr>
              <w:spacing w:after="0"/>
            </w:pPr>
            <w:r>
              <w:rPr>
                <w:b/>
                <w:color w:val="FFFFFF"/>
                <w:sz w:val="17"/>
              </w:rPr>
              <w:t>ID</w:t>
            </w:r>
          </w:p>
        </w:tc>
        <w:tc>
          <w:tcPr>
            <w:tcW w:type="dxa" w:w="3273"/>
            <w:shd w:fill="16334C"/>
          </w:tcPr>
          <w:p>
            <w:pPr>
              <w:spacing w:after="0"/>
            </w:pPr>
            <w:r>
              <w:rPr>
                <w:b/>
                <w:color w:val="FFFFFF"/>
                <w:sz w:val="17"/>
              </w:rPr>
              <w:t>Task</w:t>
            </w:r>
          </w:p>
        </w:tc>
        <w:tc>
          <w:tcPr>
            <w:tcW w:type="dxa" w:w="3273"/>
            <w:shd w:fill="16334C"/>
          </w:tcPr>
          <w:p>
            <w:pPr>
              <w:spacing w:after="0"/>
            </w:pPr>
            <w:r>
              <w:rPr>
                <w:b/>
                <w:color w:val="FFFFFF"/>
                <w:sz w:val="17"/>
              </w:rPr>
              <w:t>Done when</w:t>
            </w:r>
          </w:p>
        </w:tc>
      </w:tr>
      <w:tr>
        <w:tc>
          <w:tcPr>
            <w:tcW w:type="dxa" w:w="3273"/>
            <w:vAlign w:val="center"/>
          </w:tcPr>
          <w:p>
            <w:pPr>
              <w:spacing w:after="0"/>
            </w:pPr>
            <w:r>
              <w:rPr>
                <w:sz w:val="16"/>
              </w:rPr>
              <w:t>WJ-001</w:t>
            </w:r>
          </w:p>
        </w:tc>
        <w:tc>
          <w:tcPr>
            <w:tcW w:type="dxa" w:w="3273"/>
            <w:vAlign w:val="center"/>
          </w:tcPr>
          <w:p>
            <w:pPr>
              <w:spacing w:after="0"/>
            </w:pPr>
            <w:r>
              <w:rPr>
                <w:sz w:val="16"/>
              </w:rPr>
              <w:t>Document supported Chrome versions, site restrictions, iframe/shadow-DOM boundaries and permission UX.</w:t>
            </w:r>
          </w:p>
        </w:tc>
        <w:tc>
          <w:tcPr>
            <w:tcW w:type="dxa" w:w="3273"/>
            <w:vAlign w:val="center"/>
          </w:tcPr>
          <w:p>
            <w:pPr>
              <w:spacing w:after="0"/>
            </w:pPr>
            <w:r>
              <w:rPr>
                <w:sz w:val="16"/>
              </w:rPr>
              <w:t>Compatibility and explicit non-goals signed off.</w:t>
            </w:r>
          </w:p>
        </w:tc>
      </w:tr>
      <w:tr>
        <w:tc>
          <w:tcPr>
            <w:tcW w:type="dxa" w:w="3273"/>
            <w:vAlign w:val="center"/>
            <w:shd w:fill="F0F5F6"/>
          </w:tcPr>
          <w:p>
            <w:pPr>
              <w:spacing w:after="0"/>
            </w:pPr>
            <w:r>
              <w:rPr>
                <w:sz w:val="16"/>
              </w:rPr>
              <w:t>WJ-002</w:t>
            </w:r>
          </w:p>
        </w:tc>
        <w:tc>
          <w:tcPr>
            <w:tcW w:type="dxa" w:w="3273"/>
            <w:vAlign w:val="center"/>
            <w:shd w:fill="F0F5F6"/>
          </w:tcPr>
          <w:p>
            <w:pPr>
              <w:spacing w:after="0"/>
            </w:pPr>
            <w:r>
              <w:rPr>
                <w:sz w:val="16"/>
              </w:rPr>
              <w:t>Prototype origin-scoped content-script injection, highlight and tooltip on controlled sites.</w:t>
            </w:r>
          </w:p>
        </w:tc>
        <w:tc>
          <w:tcPr>
            <w:tcW w:type="dxa" w:w="3273"/>
            <w:vAlign w:val="center"/>
            <w:shd w:fill="F0F5F6"/>
          </w:tcPr>
          <w:p>
            <w:pPr>
              <w:spacing w:after="0"/>
            </w:pPr>
            <w:r>
              <w:rPr>
                <w:sz w:val="16"/>
              </w:rPr>
              <w:t>Overlay is isolated and exits cleanly.</w:t>
            </w:r>
          </w:p>
        </w:tc>
      </w:tr>
      <w:tr>
        <w:tc>
          <w:tcPr>
            <w:tcW w:type="dxa" w:w="3273"/>
            <w:vAlign w:val="center"/>
          </w:tcPr>
          <w:p>
            <w:pPr>
              <w:spacing w:after="0"/>
            </w:pPr>
            <w:r>
              <w:rPr>
                <w:sz w:val="16"/>
              </w:rPr>
              <w:t>WJ-003</w:t>
            </w:r>
          </w:p>
        </w:tc>
        <w:tc>
          <w:tcPr>
            <w:tcW w:type="dxa" w:w="3273"/>
            <w:vAlign w:val="center"/>
          </w:tcPr>
          <w:p>
            <w:pPr>
              <w:spacing w:after="0"/>
            </w:pPr>
            <w:r>
              <w:rPr>
                <w:sz w:val="16"/>
              </w:rPr>
              <w:t>Choose React or Vue, backend stack, auth approach, hosting; record ADRs.</w:t>
            </w:r>
          </w:p>
        </w:tc>
        <w:tc>
          <w:tcPr>
            <w:tcW w:type="dxa" w:w="3273"/>
            <w:vAlign w:val="center"/>
          </w:tcPr>
          <w:p>
            <w:pPr>
              <w:spacing w:after="0"/>
            </w:pPr>
            <w:r>
              <w:rPr>
                <w:sz w:val="16"/>
              </w:rPr>
              <w:t>Decisions, tradeoffs and ownership documented.</w:t>
            </w:r>
          </w:p>
        </w:tc>
      </w:tr>
      <w:tr>
        <w:tc>
          <w:tcPr>
            <w:tcW w:type="dxa" w:w="3273"/>
            <w:vAlign w:val="center"/>
            <w:shd w:fill="F0F5F6"/>
          </w:tcPr>
          <w:p>
            <w:pPr>
              <w:spacing w:after="0"/>
            </w:pPr>
            <w:r>
              <w:rPr>
                <w:sz w:val="16"/>
              </w:rPr>
              <w:t>WJ-004</w:t>
            </w:r>
          </w:p>
        </w:tc>
        <w:tc>
          <w:tcPr>
            <w:tcW w:type="dxa" w:w="3273"/>
            <w:vAlign w:val="center"/>
            <w:shd w:fill="F0F5F6"/>
          </w:tcPr>
          <w:p>
            <w:pPr>
              <w:spacing w:after="0"/>
            </w:pPr>
            <w:r>
              <w:rPr>
                <w:sz w:val="16"/>
              </w:rPr>
              <w:t>Define product demo site with stable/dynamic selectors and multi-page transitions.</w:t>
            </w:r>
          </w:p>
        </w:tc>
        <w:tc>
          <w:tcPr>
            <w:tcW w:type="dxa" w:w="3273"/>
            <w:vAlign w:val="center"/>
            <w:shd w:fill="F0F5F6"/>
          </w:tcPr>
          <w:p>
            <w:pPr>
              <w:spacing w:after="0"/>
            </w:pPr>
            <w:r>
              <w:rPr>
                <w:sz w:val="16"/>
              </w:rPr>
              <w:t>Fixtures cover all four MVP step types.</w:t>
            </w:r>
          </w:p>
        </w:tc>
      </w:tr>
    </w:tbl>
    <w:p/>
    <w:p>
      <w:pPr>
        <w:pStyle w:val="Heading2"/>
      </w:pPr>
      <w:r>
        <w:t>Phase 1 — Foundation</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trPr>
        <w:tc>
          <w:tcPr>
            <w:tcW w:type="dxa" w:w="3273"/>
            <w:shd w:fill="16334C"/>
          </w:tcPr>
          <w:p>
            <w:pPr>
              <w:spacing w:after="0"/>
            </w:pPr>
            <w:r>
              <w:rPr>
                <w:b/>
                <w:color w:val="FFFFFF"/>
                <w:sz w:val="17"/>
              </w:rPr>
              <w:t>ID</w:t>
            </w:r>
          </w:p>
        </w:tc>
        <w:tc>
          <w:tcPr>
            <w:tcW w:type="dxa" w:w="3273"/>
            <w:shd w:fill="16334C"/>
          </w:tcPr>
          <w:p>
            <w:pPr>
              <w:spacing w:after="0"/>
            </w:pPr>
            <w:r>
              <w:rPr>
                <w:b/>
                <w:color w:val="FFFFFF"/>
                <w:sz w:val="17"/>
              </w:rPr>
              <w:t>Task</w:t>
            </w:r>
          </w:p>
        </w:tc>
        <w:tc>
          <w:tcPr>
            <w:tcW w:type="dxa" w:w="3273"/>
            <w:shd w:fill="16334C"/>
          </w:tcPr>
          <w:p>
            <w:pPr>
              <w:spacing w:after="0"/>
            </w:pPr>
            <w:r>
              <w:rPr>
                <w:b/>
                <w:color w:val="FFFFFF"/>
                <w:sz w:val="17"/>
              </w:rPr>
              <w:t>Done when</w:t>
            </w:r>
          </w:p>
        </w:tc>
      </w:tr>
      <w:tr>
        <w:tc>
          <w:tcPr>
            <w:tcW w:type="dxa" w:w="3273"/>
            <w:vAlign w:val="center"/>
          </w:tcPr>
          <w:p>
            <w:pPr>
              <w:spacing w:after="0"/>
            </w:pPr>
            <w:r>
              <w:rPr>
                <w:sz w:val="16"/>
              </w:rPr>
              <w:t>WJ-101</w:t>
            </w:r>
          </w:p>
        </w:tc>
        <w:tc>
          <w:tcPr>
            <w:tcW w:type="dxa" w:w="3273"/>
            <w:vAlign w:val="center"/>
          </w:tcPr>
          <w:p>
            <w:pPr>
              <w:spacing w:after="0"/>
            </w:pPr>
            <w:r>
              <w:rPr>
                <w:sz w:val="16"/>
              </w:rPr>
              <w:t>Create MV3 manifest, popup, side panel, service worker and content-script lifecycle.</w:t>
            </w:r>
          </w:p>
        </w:tc>
        <w:tc>
          <w:tcPr>
            <w:tcW w:type="dxa" w:w="3273"/>
            <w:vAlign w:val="center"/>
          </w:tcPr>
          <w:p>
            <w:pPr>
              <w:spacing w:after="0"/>
            </w:pPr>
            <w:r>
              <w:rPr>
                <w:sz w:val="16"/>
              </w:rPr>
              <w:t>Only approved origin receives active content logic.</w:t>
            </w:r>
          </w:p>
        </w:tc>
      </w:tr>
      <w:tr>
        <w:tc>
          <w:tcPr>
            <w:tcW w:type="dxa" w:w="3273"/>
            <w:vAlign w:val="center"/>
            <w:shd w:fill="F0F5F6"/>
          </w:tcPr>
          <w:p>
            <w:pPr>
              <w:spacing w:after="0"/>
            </w:pPr>
            <w:r>
              <w:rPr>
                <w:sz w:val="16"/>
              </w:rPr>
              <w:t>WJ-102</w:t>
            </w:r>
          </w:p>
        </w:tc>
        <w:tc>
          <w:tcPr>
            <w:tcW w:type="dxa" w:w="3273"/>
            <w:vAlign w:val="center"/>
            <w:shd w:fill="F0F5F6"/>
          </w:tcPr>
          <w:p>
            <w:pPr>
              <w:spacing w:after="0"/>
            </w:pPr>
            <w:r>
              <w:rPr>
                <w:sz w:val="16"/>
              </w:rPr>
              <w:t>Implement typed, validated extension message bus; handle service-worker restarts.</w:t>
            </w:r>
          </w:p>
        </w:tc>
        <w:tc>
          <w:tcPr>
            <w:tcW w:type="dxa" w:w="3273"/>
            <w:vAlign w:val="center"/>
            <w:shd w:fill="F0F5F6"/>
          </w:tcPr>
          <w:p>
            <w:pPr>
              <w:spacing w:after="0"/>
            </w:pPr>
            <w:r>
              <w:rPr>
                <w:sz w:val="16"/>
              </w:rPr>
              <w:t>Actions survive worker suspension without duplicate side effects.</w:t>
            </w:r>
          </w:p>
        </w:tc>
      </w:tr>
      <w:tr>
        <w:tc>
          <w:tcPr>
            <w:tcW w:type="dxa" w:w="3273"/>
            <w:vAlign w:val="center"/>
          </w:tcPr>
          <w:p>
            <w:pPr>
              <w:spacing w:after="0"/>
            </w:pPr>
            <w:r>
              <w:rPr>
                <w:sz w:val="16"/>
              </w:rPr>
              <w:t>WJ-103</w:t>
            </w:r>
          </w:p>
        </w:tc>
        <w:tc>
          <w:tcPr>
            <w:tcW w:type="dxa" w:w="3273"/>
            <w:vAlign w:val="center"/>
          </w:tcPr>
          <w:p>
            <w:pPr>
              <w:spacing w:after="0"/>
            </w:pPr>
            <w:r>
              <w:rPr>
                <w:sz w:val="16"/>
              </w:rPr>
              <w:t>Define and validate journey schema, allowed origins, URL matchers and step IDs.</w:t>
            </w:r>
          </w:p>
        </w:tc>
        <w:tc>
          <w:tcPr>
            <w:tcW w:type="dxa" w:w="3273"/>
            <w:vAlign w:val="center"/>
          </w:tcPr>
          <w:p>
            <w:pPr>
              <w:spacing w:after="0"/>
            </w:pPr>
            <w:r>
              <w:rPr>
                <w:sz w:val="16"/>
              </w:rPr>
              <w:t>Invalid definitions rejected with human-readable errors.</w:t>
            </w:r>
          </w:p>
        </w:tc>
      </w:tr>
      <w:tr>
        <w:tc>
          <w:tcPr>
            <w:tcW w:type="dxa" w:w="3273"/>
            <w:vAlign w:val="center"/>
            <w:shd w:fill="F0F5F6"/>
          </w:tcPr>
          <w:p>
            <w:pPr>
              <w:spacing w:after="0"/>
            </w:pPr>
            <w:r>
              <w:rPr>
                <w:sz w:val="16"/>
              </w:rPr>
              <w:t>WJ-104</w:t>
            </w:r>
          </w:p>
        </w:tc>
        <w:tc>
          <w:tcPr>
            <w:tcW w:type="dxa" w:w="3273"/>
            <w:vAlign w:val="center"/>
            <w:shd w:fill="F0F5F6"/>
          </w:tcPr>
          <w:p>
            <w:pPr>
              <w:spacing w:after="0"/>
            </w:pPr>
            <w:r>
              <w:rPr>
                <w:sz w:val="16"/>
              </w:rPr>
              <w:t>Set up CI, format/lint/typecheck, tests, signed build provenance.</w:t>
            </w:r>
          </w:p>
        </w:tc>
        <w:tc>
          <w:tcPr>
            <w:tcW w:type="dxa" w:w="3273"/>
            <w:vAlign w:val="center"/>
            <w:shd w:fill="F0F5F6"/>
          </w:tcPr>
          <w:p>
            <w:pPr>
              <w:spacing w:after="0"/>
            </w:pPr>
            <w:r>
              <w:rPr>
                <w:sz w:val="16"/>
              </w:rPr>
              <w:t>Repeatable build and minimal test suite green.</w:t>
            </w:r>
          </w:p>
        </w:tc>
      </w:tr>
      <w:tr>
        <w:tc>
          <w:tcPr>
            <w:tcW w:type="dxa" w:w="3273"/>
            <w:vAlign w:val="center"/>
          </w:tcPr>
          <w:p>
            <w:pPr>
              <w:spacing w:after="0"/>
            </w:pPr>
            <w:r>
              <w:rPr>
                <w:sz w:val="16"/>
              </w:rPr>
              <w:t>WJ-105</w:t>
            </w:r>
          </w:p>
        </w:tc>
        <w:tc>
          <w:tcPr>
            <w:tcW w:type="dxa" w:w="3273"/>
            <w:vAlign w:val="center"/>
          </w:tcPr>
          <w:p>
            <w:pPr>
              <w:spacing w:after="0"/>
            </w:pPr>
            <w:r>
              <w:rPr>
                <w:sz w:val="16"/>
              </w:rPr>
              <w:t>Create backend auth, persistence migrations and authorization boundary.</w:t>
            </w:r>
          </w:p>
        </w:tc>
        <w:tc>
          <w:tcPr>
            <w:tcW w:type="dxa" w:w="3273"/>
            <w:vAlign w:val="center"/>
          </w:tcPr>
          <w:p>
            <w:pPr>
              <w:spacing w:after="0"/>
            </w:pPr>
            <w:r>
              <w:rPr>
                <w:sz w:val="16"/>
              </w:rPr>
              <w:t>Owner-only draft mutation tests pass.</w:t>
            </w:r>
          </w:p>
        </w:tc>
      </w:tr>
    </w:tbl>
    <w:p/>
    <w:p>
      <w:pPr>
        <w:pStyle w:val="Heading2"/>
      </w:pPr>
      <w:r>
        <w:t>Phase 2 — Visual authoring</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trPr>
        <w:tc>
          <w:tcPr>
            <w:tcW w:type="dxa" w:w="3273"/>
            <w:shd w:fill="16334C"/>
          </w:tcPr>
          <w:p>
            <w:pPr>
              <w:spacing w:after="0"/>
            </w:pPr>
            <w:r>
              <w:rPr>
                <w:b/>
                <w:color w:val="FFFFFF"/>
                <w:sz w:val="17"/>
              </w:rPr>
              <w:t>ID</w:t>
            </w:r>
          </w:p>
        </w:tc>
        <w:tc>
          <w:tcPr>
            <w:tcW w:type="dxa" w:w="3273"/>
            <w:shd w:fill="16334C"/>
          </w:tcPr>
          <w:p>
            <w:pPr>
              <w:spacing w:after="0"/>
            </w:pPr>
            <w:r>
              <w:rPr>
                <w:b/>
                <w:color w:val="FFFFFF"/>
                <w:sz w:val="17"/>
              </w:rPr>
              <w:t>Task</w:t>
            </w:r>
          </w:p>
        </w:tc>
        <w:tc>
          <w:tcPr>
            <w:tcW w:type="dxa" w:w="3273"/>
            <w:shd w:fill="16334C"/>
          </w:tcPr>
          <w:p>
            <w:pPr>
              <w:spacing w:after="0"/>
            </w:pPr>
            <w:r>
              <w:rPr>
                <w:b/>
                <w:color w:val="FFFFFF"/>
                <w:sz w:val="17"/>
              </w:rPr>
              <w:t>Done when</w:t>
            </w:r>
          </w:p>
        </w:tc>
      </w:tr>
      <w:tr>
        <w:tc>
          <w:tcPr>
            <w:tcW w:type="dxa" w:w="3273"/>
            <w:vAlign w:val="center"/>
          </w:tcPr>
          <w:p>
            <w:pPr>
              <w:spacing w:after="0"/>
            </w:pPr>
            <w:r>
              <w:rPr>
                <w:sz w:val="16"/>
              </w:rPr>
              <w:t>WJ-201</w:t>
            </w:r>
          </w:p>
        </w:tc>
        <w:tc>
          <w:tcPr>
            <w:tcW w:type="dxa" w:w="3273"/>
            <w:vAlign w:val="center"/>
          </w:tcPr>
          <w:p>
            <w:pPr>
              <w:spacing w:after="0"/>
            </w:pPr>
            <w:r>
              <w:rPr>
                <w:sz w:val="16"/>
              </w:rPr>
              <w:t>Implement element picker and target highlighting with scroll/resize support.</w:t>
            </w:r>
          </w:p>
        </w:tc>
        <w:tc>
          <w:tcPr>
            <w:tcW w:type="dxa" w:w="3273"/>
            <w:vAlign w:val="center"/>
          </w:tcPr>
          <w:p>
            <w:pPr>
              <w:spacing w:after="0"/>
            </w:pPr>
            <w:r>
              <w:rPr>
                <w:sz w:val="16"/>
              </w:rPr>
              <w:t>Accurate selection on demo-site responsive layouts.</w:t>
            </w:r>
          </w:p>
        </w:tc>
      </w:tr>
      <w:tr>
        <w:tc>
          <w:tcPr>
            <w:tcW w:type="dxa" w:w="3273"/>
            <w:vAlign w:val="center"/>
            <w:shd w:fill="F0F5F6"/>
          </w:tcPr>
          <w:p>
            <w:pPr>
              <w:spacing w:after="0"/>
            </w:pPr>
            <w:r>
              <w:rPr>
                <w:sz w:val="16"/>
              </w:rPr>
              <w:t>WJ-202</w:t>
            </w:r>
          </w:p>
        </w:tc>
        <w:tc>
          <w:tcPr>
            <w:tcW w:type="dxa" w:w="3273"/>
            <w:vAlign w:val="center"/>
            <w:shd w:fill="F0F5F6"/>
          </w:tcPr>
          <w:p>
            <w:pPr>
              <w:spacing w:after="0"/>
            </w:pPr>
            <w:r>
              <w:rPr>
                <w:sz w:val="16"/>
              </w:rPr>
              <w:t>Create bounded target fingerprint/selector generator and ambiguity diagnostics.</w:t>
            </w:r>
          </w:p>
        </w:tc>
        <w:tc>
          <w:tcPr>
            <w:tcW w:type="dxa" w:w="3273"/>
            <w:vAlign w:val="center"/>
            <w:shd w:fill="F0F5F6"/>
          </w:tcPr>
          <w:p>
            <w:pPr>
              <w:spacing w:after="0"/>
            </w:pPr>
            <w:r>
              <w:rPr>
                <w:sz w:val="16"/>
              </w:rPr>
              <w:t>Re-rendered components handled or flagged as ambiguous.</w:t>
            </w:r>
          </w:p>
        </w:tc>
      </w:tr>
      <w:tr>
        <w:tc>
          <w:tcPr>
            <w:tcW w:type="dxa" w:w="3273"/>
            <w:vAlign w:val="center"/>
          </w:tcPr>
          <w:p>
            <w:pPr>
              <w:spacing w:after="0"/>
            </w:pPr>
            <w:r>
              <w:rPr>
                <w:sz w:val="16"/>
              </w:rPr>
              <w:t>WJ-203</w:t>
            </w:r>
          </w:p>
        </w:tc>
        <w:tc>
          <w:tcPr>
            <w:tcW w:type="dxa" w:w="3273"/>
            <w:vAlign w:val="center"/>
          </w:tcPr>
          <w:p>
            <w:pPr>
              <w:spacing w:after="0"/>
            </w:pPr>
            <w:r>
              <w:rPr>
                <w:sz w:val="16"/>
              </w:rPr>
              <w:t>Build steps editor: instruction, action, URL, timeout, fallback, reorder.</w:t>
            </w:r>
          </w:p>
        </w:tc>
        <w:tc>
          <w:tcPr>
            <w:tcW w:type="dxa" w:w="3273"/>
            <w:vAlign w:val="center"/>
          </w:tcPr>
          <w:p>
            <w:pPr>
              <w:spacing w:after="0"/>
            </w:pPr>
            <w:r>
              <w:rPr>
                <w:sz w:val="16"/>
              </w:rPr>
              <w:t>Author produces a five-step local draft without raw CSS editing.</w:t>
            </w:r>
          </w:p>
        </w:tc>
      </w:tr>
      <w:tr>
        <w:tc>
          <w:tcPr>
            <w:tcW w:type="dxa" w:w="3273"/>
            <w:vAlign w:val="center"/>
            <w:shd w:fill="F0F5F6"/>
          </w:tcPr>
          <w:p>
            <w:pPr>
              <w:spacing w:after="0"/>
            </w:pPr>
            <w:r>
              <w:rPr>
                <w:sz w:val="16"/>
              </w:rPr>
              <w:t>WJ-204</w:t>
            </w:r>
          </w:p>
        </w:tc>
        <w:tc>
          <w:tcPr>
            <w:tcW w:type="dxa" w:w="3273"/>
            <w:vAlign w:val="center"/>
            <w:shd w:fill="F0F5F6"/>
          </w:tcPr>
          <w:p>
            <w:pPr>
              <w:spacing w:after="0"/>
            </w:pPr>
            <w:r>
              <w:rPr>
                <w:sz w:val="16"/>
              </w:rPr>
              <w:t>Implement preview and validation per step; detect inaccessible targets.</w:t>
            </w:r>
          </w:p>
        </w:tc>
        <w:tc>
          <w:tcPr>
            <w:tcW w:type="dxa" w:w="3273"/>
            <w:vAlign w:val="center"/>
            <w:shd w:fill="F0F5F6"/>
          </w:tcPr>
          <w:p>
            <w:pPr>
              <w:spacing w:after="0"/>
            </w:pPr>
            <w:r>
              <w:rPr>
                <w:sz w:val="16"/>
              </w:rPr>
              <w:t>Invalid steps cannot be published without explicit repair.</w:t>
            </w:r>
          </w:p>
        </w:tc>
      </w:tr>
      <w:tr>
        <w:tc>
          <w:tcPr>
            <w:tcW w:type="dxa" w:w="3273"/>
            <w:vAlign w:val="center"/>
          </w:tcPr>
          <w:p>
            <w:pPr>
              <w:spacing w:after="0"/>
            </w:pPr>
            <w:r>
              <w:rPr>
                <w:sz w:val="16"/>
              </w:rPr>
              <w:t>WJ-205</w:t>
            </w:r>
          </w:p>
        </w:tc>
        <w:tc>
          <w:tcPr>
            <w:tcW w:type="dxa" w:w="3273"/>
            <w:vAlign w:val="center"/>
          </w:tcPr>
          <w:p>
            <w:pPr>
              <w:spacing w:after="0"/>
            </w:pPr>
            <w:r>
              <w:rPr>
                <w:sz w:val="16"/>
              </w:rPr>
              <w:t>Persist drafts locally and optional authenticated sync.</w:t>
            </w:r>
          </w:p>
        </w:tc>
        <w:tc>
          <w:tcPr>
            <w:tcW w:type="dxa" w:w="3273"/>
            <w:vAlign w:val="center"/>
          </w:tcPr>
          <w:p>
            <w:pPr>
              <w:spacing w:after="0"/>
            </w:pPr>
            <w:r>
              <w:rPr>
                <w:sz w:val="16"/>
              </w:rPr>
              <w:t>Restart/refresh does not lose an in-progress draft.</w:t>
            </w:r>
          </w:p>
        </w:tc>
      </w:tr>
    </w:tbl>
    <w:p/>
    <w:p>
      <w:pPr>
        <w:pStyle w:val="Heading2"/>
      </w:pPr>
      <w:r>
        <w:t>Phase 3 — Player engine</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trPr>
        <w:tc>
          <w:tcPr>
            <w:tcW w:type="dxa" w:w="3273"/>
            <w:shd w:fill="16334C"/>
          </w:tcPr>
          <w:p>
            <w:pPr>
              <w:spacing w:after="0"/>
            </w:pPr>
            <w:r>
              <w:rPr>
                <w:b/>
                <w:color w:val="FFFFFF"/>
                <w:sz w:val="17"/>
              </w:rPr>
              <w:t>ID</w:t>
            </w:r>
          </w:p>
        </w:tc>
        <w:tc>
          <w:tcPr>
            <w:tcW w:type="dxa" w:w="3273"/>
            <w:shd w:fill="16334C"/>
          </w:tcPr>
          <w:p>
            <w:pPr>
              <w:spacing w:after="0"/>
            </w:pPr>
            <w:r>
              <w:rPr>
                <w:b/>
                <w:color w:val="FFFFFF"/>
                <w:sz w:val="17"/>
              </w:rPr>
              <w:t>Task</w:t>
            </w:r>
          </w:p>
        </w:tc>
        <w:tc>
          <w:tcPr>
            <w:tcW w:type="dxa" w:w="3273"/>
            <w:shd w:fill="16334C"/>
          </w:tcPr>
          <w:p>
            <w:pPr>
              <w:spacing w:after="0"/>
            </w:pPr>
            <w:r>
              <w:rPr>
                <w:b/>
                <w:color w:val="FFFFFF"/>
                <w:sz w:val="17"/>
              </w:rPr>
              <w:t>Done when</w:t>
            </w:r>
          </w:p>
        </w:tc>
      </w:tr>
      <w:tr>
        <w:tc>
          <w:tcPr>
            <w:tcW w:type="dxa" w:w="3273"/>
            <w:vAlign w:val="center"/>
          </w:tcPr>
          <w:p>
            <w:pPr>
              <w:spacing w:after="0"/>
            </w:pPr>
            <w:r>
              <w:rPr>
                <w:sz w:val="16"/>
              </w:rPr>
              <w:t>WJ-301</w:t>
            </w:r>
          </w:p>
        </w:tc>
        <w:tc>
          <w:tcPr>
            <w:tcW w:type="dxa" w:w="3273"/>
            <w:vAlign w:val="center"/>
          </w:tcPr>
          <w:p>
            <w:pPr>
              <w:spacing w:after="0"/>
            </w:pPr>
            <w:r>
              <w:rPr>
                <w:sz w:val="16"/>
              </w:rPr>
              <w:t>Implement finite-state player (idle, resolving, active, verifying, blocked, paused, finished).</w:t>
            </w:r>
          </w:p>
        </w:tc>
        <w:tc>
          <w:tcPr>
            <w:tcW w:type="dxa" w:w="3273"/>
            <w:vAlign w:val="center"/>
          </w:tcPr>
          <w:p>
            <w:pPr>
              <w:spacing w:after="0"/>
            </w:pPr>
            <w:r>
              <w:rPr>
                <w:sz w:val="16"/>
              </w:rPr>
              <w:t>Unit tests cover valid/invalid transitions.</w:t>
            </w:r>
          </w:p>
        </w:tc>
      </w:tr>
      <w:tr>
        <w:tc>
          <w:tcPr>
            <w:tcW w:type="dxa" w:w="3273"/>
            <w:vAlign w:val="center"/>
            <w:shd w:fill="F0F5F6"/>
          </w:tcPr>
          <w:p>
            <w:pPr>
              <w:spacing w:after="0"/>
            </w:pPr>
            <w:r>
              <w:rPr>
                <w:sz w:val="16"/>
              </w:rPr>
              <w:t>WJ-302</w:t>
            </w:r>
          </w:p>
        </w:tc>
        <w:tc>
          <w:tcPr>
            <w:tcW w:type="dxa" w:w="3273"/>
            <w:vAlign w:val="center"/>
            <w:shd w:fill="F0F5F6"/>
          </w:tcPr>
          <w:p>
            <w:pPr>
              <w:spacing w:after="0"/>
            </w:pPr>
            <w:r>
              <w:rPr>
                <w:sz w:val="16"/>
              </w:rPr>
              <w:t>Implement click, safe field-complete, navigation and manual completion observers.</w:t>
            </w:r>
          </w:p>
        </w:tc>
        <w:tc>
          <w:tcPr>
            <w:tcW w:type="dxa" w:w="3273"/>
            <w:vAlign w:val="center"/>
            <w:shd w:fill="F0F5F6"/>
          </w:tcPr>
          <w:p>
            <w:pPr>
              <w:spacing w:after="0"/>
            </w:pPr>
            <w:r>
              <w:rPr>
                <w:sz w:val="16"/>
              </w:rPr>
              <w:t>Never captures typed contents or causes synthetic site actions.</w:t>
            </w:r>
          </w:p>
        </w:tc>
      </w:tr>
      <w:tr>
        <w:tc>
          <w:tcPr>
            <w:tcW w:type="dxa" w:w="3273"/>
            <w:vAlign w:val="center"/>
          </w:tcPr>
          <w:p>
            <w:pPr>
              <w:spacing w:after="0"/>
            </w:pPr>
            <w:r>
              <w:rPr>
                <w:sz w:val="16"/>
              </w:rPr>
              <w:t>WJ-303</w:t>
            </w:r>
          </w:p>
        </w:tc>
        <w:tc>
          <w:tcPr>
            <w:tcW w:type="dxa" w:w="3273"/>
            <w:vAlign w:val="center"/>
          </w:tcPr>
          <w:p>
            <w:pPr>
              <w:spacing w:after="0"/>
            </w:pPr>
            <w:r>
              <w:rPr>
                <w:sz w:val="16"/>
              </w:rPr>
              <w:t>Support SPA navigation, mutation/resize observers with teardown and backpressure.</w:t>
            </w:r>
          </w:p>
        </w:tc>
        <w:tc>
          <w:tcPr>
            <w:tcW w:type="dxa" w:w="3273"/>
            <w:vAlign w:val="center"/>
          </w:tcPr>
          <w:p>
            <w:pPr>
              <w:spacing w:after="0"/>
            </w:pPr>
            <w:r>
              <w:rPr>
                <w:sz w:val="16"/>
              </w:rPr>
              <w:t>No duplicate listeners across route changes or replays.</w:t>
            </w:r>
          </w:p>
        </w:tc>
      </w:tr>
      <w:tr>
        <w:tc>
          <w:tcPr>
            <w:tcW w:type="dxa" w:w="3273"/>
            <w:vAlign w:val="center"/>
            <w:shd w:fill="F0F5F6"/>
          </w:tcPr>
          <w:p>
            <w:pPr>
              <w:spacing w:after="0"/>
            </w:pPr>
            <w:r>
              <w:rPr>
                <w:sz w:val="16"/>
              </w:rPr>
              <w:t>WJ-304</w:t>
            </w:r>
          </w:p>
        </w:tc>
        <w:tc>
          <w:tcPr>
            <w:tcW w:type="dxa" w:w="3273"/>
            <w:vAlign w:val="center"/>
            <w:shd w:fill="F0F5F6"/>
          </w:tcPr>
          <w:p>
            <w:pPr>
              <w:spacing w:after="0"/>
            </w:pPr>
            <w:r>
              <w:rPr>
                <w:sz w:val="16"/>
              </w:rPr>
              <w:t>Build accessible tooltip/spotlight, progress, back, retry, pause, exit.</w:t>
            </w:r>
          </w:p>
        </w:tc>
        <w:tc>
          <w:tcPr>
            <w:tcW w:type="dxa" w:w="3273"/>
            <w:vAlign w:val="center"/>
            <w:shd w:fill="F0F5F6"/>
          </w:tcPr>
          <w:p>
            <w:pPr>
              <w:spacing w:after="0"/>
            </w:pPr>
            <w:r>
              <w:rPr>
                <w:sz w:val="16"/>
              </w:rPr>
              <w:t>Keyboard and narrow-viewport QA passed.</w:t>
            </w:r>
          </w:p>
        </w:tc>
      </w:tr>
      <w:tr>
        <w:tc>
          <w:tcPr>
            <w:tcW w:type="dxa" w:w="3273"/>
            <w:vAlign w:val="center"/>
          </w:tcPr>
          <w:p>
            <w:pPr>
              <w:spacing w:after="0"/>
            </w:pPr>
            <w:r>
              <w:rPr>
                <w:sz w:val="16"/>
              </w:rPr>
              <w:t>WJ-305</w:t>
            </w:r>
          </w:p>
        </w:tc>
        <w:tc>
          <w:tcPr>
            <w:tcW w:type="dxa" w:w="3273"/>
            <w:vAlign w:val="center"/>
          </w:tcPr>
          <w:p>
            <w:pPr>
              <w:spacing w:after="0"/>
            </w:pPr>
            <w:r>
              <w:rPr>
                <w:sz w:val="16"/>
              </w:rPr>
              <w:t>Persist resumable run state; distinguish expired/mismatched site state.</w:t>
            </w:r>
          </w:p>
        </w:tc>
        <w:tc>
          <w:tcPr>
            <w:tcW w:type="dxa" w:w="3273"/>
            <w:vAlign w:val="center"/>
          </w:tcPr>
          <w:p>
            <w:pPr>
              <w:spacing w:after="0"/>
            </w:pPr>
            <w:r>
              <w:rPr>
                <w:sz w:val="16"/>
              </w:rPr>
              <w:t>Refresh offers safe resume or restart, never false completion.</w:t>
            </w:r>
          </w:p>
        </w:tc>
      </w:tr>
      <w:tr>
        <w:tc>
          <w:tcPr>
            <w:tcW w:type="dxa" w:w="3273"/>
            <w:vAlign w:val="center"/>
            <w:shd w:fill="F0F5F6"/>
          </w:tcPr>
          <w:p>
            <w:pPr>
              <w:spacing w:after="0"/>
            </w:pPr>
            <w:r>
              <w:rPr>
                <w:sz w:val="16"/>
              </w:rPr>
              <w:t>WJ-306</w:t>
            </w:r>
          </w:p>
        </w:tc>
        <w:tc>
          <w:tcPr>
            <w:tcW w:type="dxa" w:w="3273"/>
            <w:vAlign w:val="center"/>
            <w:shd w:fill="F0F5F6"/>
          </w:tcPr>
          <w:p>
            <w:pPr>
              <w:spacing w:after="0"/>
            </w:pPr>
            <w:r>
              <w:rPr>
                <w:sz w:val="16"/>
              </w:rPr>
              <w:t>Implement missing-target reporting and skip policies.</w:t>
            </w:r>
          </w:p>
        </w:tc>
        <w:tc>
          <w:tcPr>
            <w:tcW w:type="dxa" w:w="3273"/>
            <w:vAlign w:val="center"/>
            <w:shd w:fill="F0F5F6"/>
          </w:tcPr>
          <w:p>
            <w:pPr>
              <w:spacing w:after="0"/>
            </w:pPr>
            <w:r>
              <w:rPr>
                <w:sz w:val="16"/>
              </w:rPr>
              <w:t>Learner can recover rather than get stuck indefinitely.</w:t>
            </w:r>
          </w:p>
        </w:tc>
      </w:tr>
    </w:tbl>
    <w:p/>
    <w:p>
      <w:pPr>
        <w:pStyle w:val="Heading2"/>
      </w:pPr>
      <w:r>
        <w:t>Phase 4 — Sharing &amp; governance</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trPr>
        <w:tc>
          <w:tcPr>
            <w:tcW w:type="dxa" w:w="3273"/>
            <w:shd w:fill="16334C"/>
          </w:tcPr>
          <w:p>
            <w:pPr>
              <w:spacing w:after="0"/>
            </w:pPr>
            <w:r>
              <w:rPr>
                <w:b/>
                <w:color w:val="FFFFFF"/>
                <w:sz w:val="17"/>
              </w:rPr>
              <w:t>ID</w:t>
            </w:r>
          </w:p>
        </w:tc>
        <w:tc>
          <w:tcPr>
            <w:tcW w:type="dxa" w:w="3273"/>
            <w:shd w:fill="16334C"/>
          </w:tcPr>
          <w:p>
            <w:pPr>
              <w:spacing w:after="0"/>
            </w:pPr>
            <w:r>
              <w:rPr>
                <w:b/>
                <w:color w:val="FFFFFF"/>
                <w:sz w:val="17"/>
              </w:rPr>
              <w:t>Task</w:t>
            </w:r>
          </w:p>
        </w:tc>
        <w:tc>
          <w:tcPr>
            <w:tcW w:type="dxa" w:w="3273"/>
            <w:shd w:fill="16334C"/>
          </w:tcPr>
          <w:p>
            <w:pPr>
              <w:spacing w:after="0"/>
            </w:pPr>
            <w:r>
              <w:rPr>
                <w:b/>
                <w:color w:val="FFFFFF"/>
                <w:sz w:val="17"/>
              </w:rPr>
              <w:t>Done when</w:t>
            </w:r>
          </w:p>
        </w:tc>
      </w:tr>
      <w:tr>
        <w:tc>
          <w:tcPr>
            <w:tcW w:type="dxa" w:w="3273"/>
            <w:vAlign w:val="center"/>
          </w:tcPr>
          <w:p>
            <w:pPr>
              <w:spacing w:after="0"/>
            </w:pPr>
            <w:r>
              <w:rPr>
                <w:sz w:val="16"/>
              </w:rPr>
              <w:t>WJ-401</w:t>
            </w:r>
          </w:p>
        </w:tc>
        <w:tc>
          <w:tcPr>
            <w:tcW w:type="dxa" w:w="3273"/>
            <w:vAlign w:val="center"/>
          </w:tcPr>
          <w:p>
            <w:pPr>
              <w:spacing w:after="0"/>
            </w:pPr>
            <w:r>
              <w:rPr>
                <w:sz w:val="16"/>
              </w:rPr>
              <w:t>Publish immutable journey versions; keep drafts independently editable.</w:t>
            </w:r>
          </w:p>
        </w:tc>
        <w:tc>
          <w:tcPr>
            <w:tcW w:type="dxa" w:w="3273"/>
            <w:vAlign w:val="center"/>
          </w:tcPr>
          <w:p>
            <w:pPr>
              <w:spacing w:after="0"/>
            </w:pPr>
            <w:r>
              <w:rPr>
                <w:sz w:val="16"/>
              </w:rPr>
              <w:t>Published content does not change when draft changes.</w:t>
            </w:r>
          </w:p>
        </w:tc>
      </w:tr>
      <w:tr>
        <w:tc>
          <w:tcPr>
            <w:tcW w:type="dxa" w:w="3273"/>
            <w:vAlign w:val="center"/>
            <w:shd w:fill="F0F5F6"/>
          </w:tcPr>
          <w:p>
            <w:pPr>
              <w:spacing w:after="0"/>
            </w:pPr>
            <w:r>
              <w:rPr>
                <w:sz w:val="16"/>
              </w:rPr>
              <w:t>WJ-402</w:t>
            </w:r>
          </w:p>
        </w:tc>
        <w:tc>
          <w:tcPr>
            <w:tcW w:type="dxa" w:w="3273"/>
            <w:vAlign w:val="center"/>
            <w:shd w:fill="F0F5F6"/>
          </w:tcPr>
          <w:p>
            <w:pPr>
              <w:spacing w:after="0"/>
            </w:pPr>
            <w:r>
              <w:rPr>
                <w:sz w:val="16"/>
              </w:rPr>
              <w:t>Create expiring hashed invitations, revoke and access control.</w:t>
            </w:r>
          </w:p>
        </w:tc>
        <w:tc>
          <w:tcPr>
            <w:tcW w:type="dxa" w:w="3273"/>
            <w:vAlign w:val="center"/>
            <w:shd w:fill="F0F5F6"/>
          </w:tcPr>
          <w:p>
            <w:pPr>
              <w:spacing w:after="0"/>
            </w:pPr>
            <w:r>
              <w:rPr>
                <w:sz w:val="16"/>
              </w:rPr>
              <w:t>Guessing or revoking token does not expose private drafts.</w:t>
            </w:r>
          </w:p>
        </w:tc>
      </w:tr>
      <w:tr>
        <w:tc>
          <w:tcPr>
            <w:tcW w:type="dxa" w:w="3273"/>
            <w:vAlign w:val="center"/>
          </w:tcPr>
          <w:p>
            <w:pPr>
              <w:spacing w:after="0"/>
            </w:pPr>
            <w:r>
              <w:rPr>
                <w:sz w:val="16"/>
              </w:rPr>
              <w:t>WJ-403</w:t>
            </w:r>
          </w:p>
        </w:tc>
        <w:tc>
          <w:tcPr>
            <w:tcW w:type="dxa" w:w="3273"/>
            <w:vAlign w:val="center"/>
          </w:tcPr>
          <w:p>
            <w:pPr>
              <w:spacing w:after="0"/>
            </w:pPr>
            <w:r>
              <w:rPr>
                <w:sz w:val="16"/>
              </w:rPr>
              <w:t>Implement invitation open/preview + origin permission grant + playback handoff.</w:t>
            </w:r>
          </w:p>
        </w:tc>
        <w:tc>
          <w:tcPr>
            <w:tcW w:type="dxa" w:w="3273"/>
            <w:vAlign w:val="center"/>
          </w:tcPr>
          <w:p>
            <w:pPr>
              <w:spacing w:after="0"/>
            </w:pPr>
            <w:r>
              <w:rPr>
                <w:sz w:val="16"/>
              </w:rPr>
              <w:t>No journey activates before destination and permission consent.</w:t>
            </w:r>
          </w:p>
        </w:tc>
      </w:tr>
      <w:tr>
        <w:tc>
          <w:tcPr>
            <w:tcW w:type="dxa" w:w="3273"/>
            <w:vAlign w:val="center"/>
            <w:shd w:fill="F0F5F6"/>
          </w:tcPr>
          <w:p>
            <w:pPr>
              <w:spacing w:after="0"/>
            </w:pPr>
            <w:r>
              <w:rPr>
                <w:sz w:val="16"/>
              </w:rPr>
              <w:t>WJ-404</w:t>
            </w:r>
          </w:p>
        </w:tc>
        <w:tc>
          <w:tcPr>
            <w:tcW w:type="dxa" w:w="3273"/>
            <w:vAlign w:val="center"/>
            <w:shd w:fill="F0F5F6"/>
          </w:tcPr>
          <w:p>
            <w:pPr>
              <w:spacing w:after="0"/>
            </w:pPr>
            <w:r>
              <w:rPr>
                <w:sz w:val="16"/>
              </w:rPr>
              <w:t>Add minimal completion events and structured issue reports.</w:t>
            </w:r>
          </w:p>
        </w:tc>
        <w:tc>
          <w:tcPr>
            <w:tcW w:type="dxa" w:w="3273"/>
            <w:vAlign w:val="center"/>
            <w:shd w:fill="F0F5F6"/>
          </w:tcPr>
          <w:p>
            <w:pPr>
              <w:spacing w:after="0"/>
            </w:pPr>
            <w:r>
              <w:rPr>
                <w:sz w:val="16"/>
              </w:rPr>
              <w:t>No passwords, form values or raw browsing history in stored events.</w:t>
            </w:r>
          </w:p>
        </w:tc>
      </w:tr>
    </w:tbl>
    <w:p/>
    <w:p>
      <w:pPr>
        <w:pStyle w:val="Heading2"/>
      </w:pPr>
      <w:r>
        <w:t>Phase 5 — Hardening &amp; launch</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trPr>
        <w:tc>
          <w:tcPr>
            <w:tcW w:type="dxa" w:w="3273"/>
            <w:shd w:fill="16334C"/>
          </w:tcPr>
          <w:p>
            <w:pPr>
              <w:spacing w:after="0"/>
            </w:pPr>
            <w:r>
              <w:rPr>
                <w:b/>
                <w:color w:val="FFFFFF"/>
                <w:sz w:val="17"/>
              </w:rPr>
              <w:t>ID</w:t>
            </w:r>
          </w:p>
        </w:tc>
        <w:tc>
          <w:tcPr>
            <w:tcW w:type="dxa" w:w="3273"/>
            <w:shd w:fill="16334C"/>
          </w:tcPr>
          <w:p>
            <w:pPr>
              <w:spacing w:after="0"/>
            </w:pPr>
            <w:r>
              <w:rPr>
                <w:b/>
                <w:color w:val="FFFFFF"/>
                <w:sz w:val="17"/>
              </w:rPr>
              <w:t>Task</w:t>
            </w:r>
          </w:p>
        </w:tc>
        <w:tc>
          <w:tcPr>
            <w:tcW w:type="dxa" w:w="3273"/>
            <w:shd w:fill="16334C"/>
          </w:tcPr>
          <w:p>
            <w:pPr>
              <w:spacing w:after="0"/>
            </w:pPr>
            <w:r>
              <w:rPr>
                <w:b/>
                <w:color w:val="FFFFFF"/>
                <w:sz w:val="17"/>
              </w:rPr>
              <w:t>Done when</w:t>
            </w:r>
          </w:p>
        </w:tc>
      </w:tr>
      <w:tr>
        <w:tc>
          <w:tcPr>
            <w:tcW w:type="dxa" w:w="3273"/>
            <w:vAlign w:val="center"/>
          </w:tcPr>
          <w:p>
            <w:pPr>
              <w:spacing w:after="0"/>
            </w:pPr>
            <w:r>
              <w:rPr>
                <w:sz w:val="16"/>
              </w:rPr>
              <w:t>WJ-501</w:t>
            </w:r>
          </w:p>
        </w:tc>
        <w:tc>
          <w:tcPr>
            <w:tcW w:type="dxa" w:w="3273"/>
            <w:vAlign w:val="center"/>
          </w:tcPr>
          <w:p>
            <w:pPr>
              <w:spacing w:after="0"/>
            </w:pPr>
            <w:r>
              <w:rPr>
                <w:sz w:val="16"/>
              </w:rPr>
              <w:t>Run security review: XSS in instructions, host permissions, share tokens, origin mismatch.</w:t>
            </w:r>
          </w:p>
        </w:tc>
        <w:tc>
          <w:tcPr>
            <w:tcW w:type="dxa" w:w="3273"/>
            <w:vAlign w:val="center"/>
          </w:tcPr>
          <w:p>
            <w:pPr>
              <w:spacing w:after="0"/>
            </w:pPr>
            <w:r>
              <w:rPr>
                <w:sz w:val="16"/>
              </w:rPr>
              <w:t>High-severity findings resolved before release.</w:t>
            </w:r>
          </w:p>
        </w:tc>
      </w:tr>
      <w:tr>
        <w:tc>
          <w:tcPr>
            <w:tcW w:type="dxa" w:w="3273"/>
            <w:vAlign w:val="center"/>
            <w:shd w:fill="F0F5F6"/>
          </w:tcPr>
          <w:p>
            <w:pPr>
              <w:spacing w:after="0"/>
            </w:pPr>
            <w:r>
              <w:rPr>
                <w:sz w:val="16"/>
              </w:rPr>
              <w:t>WJ-502</w:t>
            </w:r>
          </w:p>
        </w:tc>
        <w:tc>
          <w:tcPr>
            <w:tcW w:type="dxa" w:w="3273"/>
            <w:vAlign w:val="center"/>
            <w:shd w:fill="F0F5F6"/>
          </w:tcPr>
          <w:p>
            <w:pPr>
              <w:spacing w:after="0"/>
            </w:pPr>
            <w:r>
              <w:rPr>
                <w:sz w:val="16"/>
              </w:rPr>
              <w:t>Run browser regression matrix, accessibility audit and stress tests.</w:t>
            </w:r>
          </w:p>
        </w:tc>
        <w:tc>
          <w:tcPr>
            <w:tcW w:type="dxa" w:w="3273"/>
            <w:vAlign w:val="center"/>
            <w:shd w:fill="F0F5F6"/>
          </w:tcPr>
          <w:p>
            <w:pPr>
              <w:spacing w:after="0"/>
            </w:pPr>
            <w:r>
              <w:rPr>
                <w:sz w:val="16"/>
              </w:rPr>
              <w:t>All MVP acceptance tests pass or documented exclusions remain.</w:t>
            </w:r>
          </w:p>
        </w:tc>
      </w:tr>
      <w:tr>
        <w:tc>
          <w:tcPr>
            <w:tcW w:type="dxa" w:w="3273"/>
            <w:vAlign w:val="center"/>
          </w:tcPr>
          <w:p>
            <w:pPr>
              <w:spacing w:after="0"/>
            </w:pPr>
            <w:r>
              <w:rPr>
                <w:sz w:val="16"/>
              </w:rPr>
              <w:t>WJ-503</w:t>
            </w:r>
          </w:p>
        </w:tc>
        <w:tc>
          <w:tcPr>
            <w:tcW w:type="dxa" w:w="3273"/>
            <w:vAlign w:val="center"/>
          </w:tcPr>
          <w:p>
            <w:pPr>
              <w:spacing w:after="0"/>
            </w:pPr>
            <w:r>
              <w:rPr>
                <w:sz w:val="16"/>
              </w:rPr>
              <w:t>Prepare privacy policy, disclosures, permissions rationale and store listing.</w:t>
            </w:r>
          </w:p>
        </w:tc>
        <w:tc>
          <w:tcPr>
            <w:tcW w:type="dxa" w:w="3273"/>
            <w:vAlign w:val="center"/>
          </w:tcPr>
          <w:p>
            <w:pPr>
              <w:spacing w:after="0"/>
            </w:pPr>
            <w:r>
              <w:rPr>
                <w:sz w:val="16"/>
              </w:rPr>
              <w:t>Published materials match actual data handling.</w:t>
            </w:r>
          </w:p>
        </w:tc>
      </w:tr>
      <w:tr>
        <w:tc>
          <w:tcPr>
            <w:tcW w:type="dxa" w:w="3273"/>
            <w:vAlign w:val="center"/>
            <w:shd w:fill="F0F5F6"/>
          </w:tcPr>
          <w:p>
            <w:pPr>
              <w:spacing w:after="0"/>
            </w:pPr>
            <w:r>
              <w:rPr>
                <w:sz w:val="16"/>
              </w:rPr>
              <w:t>WJ-504</w:t>
            </w:r>
          </w:p>
        </w:tc>
        <w:tc>
          <w:tcPr>
            <w:tcW w:type="dxa" w:w="3273"/>
            <w:vAlign w:val="center"/>
            <w:shd w:fill="F0F5F6"/>
          </w:tcPr>
          <w:p>
            <w:pPr>
              <w:spacing w:after="0"/>
            </w:pPr>
            <w:r>
              <w:rPr>
                <w:sz w:val="16"/>
              </w:rPr>
              <w:t>Package extension and deploy API with backup/restore and error monitoring.</w:t>
            </w:r>
          </w:p>
        </w:tc>
        <w:tc>
          <w:tcPr>
            <w:tcW w:type="dxa" w:w="3273"/>
            <w:vAlign w:val="center"/>
            <w:shd w:fill="F0F5F6"/>
          </w:tcPr>
          <w:p>
            <w:pPr>
              <w:spacing w:after="0"/>
            </w:pPr>
            <w:r>
              <w:rPr>
                <w:sz w:val="16"/>
              </w:rPr>
              <w:t>Fresh install and rollback drill succeed.</w:t>
            </w:r>
          </w:p>
        </w:tc>
      </w:tr>
      <w:tr>
        <w:tc>
          <w:tcPr>
            <w:tcW w:type="dxa" w:w="3273"/>
            <w:vAlign w:val="center"/>
          </w:tcPr>
          <w:p>
            <w:pPr>
              <w:spacing w:after="0"/>
            </w:pPr>
            <w:r>
              <w:rPr>
                <w:sz w:val="16"/>
              </w:rPr>
              <w:t>WJ-505</w:t>
            </w:r>
          </w:p>
        </w:tc>
        <w:tc>
          <w:tcPr>
            <w:tcW w:type="dxa" w:w="3273"/>
            <w:vAlign w:val="center"/>
          </w:tcPr>
          <w:p>
            <w:pPr>
              <w:spacing w:after="0"/>
            </w:pPr>
            <w:r>
              <w:rPr>
                <w:sz w:val="16"/>
              </w:rPr>
              <w:t>Pilot with 3–5 authors and 5–10 learners; prioritize blocked flows.</w:t>
            </w:r>
          </w:p>
        </w:tc>
        <w:tc>
          <w:tcPr>
            <w:tcW w:type="dxa" w:w="3273"/>
            <w:vAlign w:val="center"/>
          </w:tcPr>
          <w:p>
            <w:pPr>
              <w:spacing w:after="0"/>
            </w:pPr>
            <w:r>
              <w:rPr>
                <w:sz w:val="16"/>
              </w:rPr>
              <w:t>Observed user feedback recorded and launch blockers fixed.</w:t>
            </w:r>
          </w:p>
        </w:tc>
      </w:tr>
    </w:tbl>
    <w:p/>
    <w:p>
      <w:pPr>
        <w:pStyle w:val="Heading1"/>
      </w:pPr>
      <w:r>
        <w:t>9. Suggested API surface (authenticated where required)</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trPr>
        <w:tc>
          <w:tcPr>
            <w:tcW w:type="dxa" w:w="3273"/>
            <w:shd w:fill="16334C"/>
          </w:tcPr>
          <w:p>
            <w:pPr>
              <w:spacing w:after="0"/>
            </w:pPr>
            <w:r>
              <w:rPr>
                <w:b/>
                <w:color w:val="FFFFFF"/>
                <w:sz w:val="17"/>
              </w:rPr>
              <w:t>Method / route</w:t>
            </w:r>
          </w:p>
        </w:tc>
        <w:tc>
          <w:tcPr>
            <w:tcW w:type="dxa" w:w="3273"/>
            <w:shd w:fill="16334C"/>
          </w:tcPr>
          <w:p>
            <w:pPr>
              <w:spacing w:after="0"/>
            </w:pPr>
            <w:r>
              <w:rPr>
                <w:b/>
                <w:color w:val="FFFFFF"/>
                <w:sz w:val="17"/>
              </w:rPr>
              <w:t>Purpose</w:t>
            </w:r>
          </w:p>
        </w:tc>
        <w:tc>
          <w:tcPr>
            <w:tcW w:type="dxa" w:w="3273"/>
            <w:shd w:fill="16334C"/>
          </w:tcPr>
          <w:p>
            <w:pPr>
              <w:spacing w:after="0"/>
            </w:pPr>
            <w:r>
              <w:rPr>
                <w:b/>
                <w:color w:val="FFFFFF"/>
                <w:sz w:val="17"/>
              </w:rPr>
              <w:t>Authorization</w:t>
            </w:r>
          </w:p>
        </w:tc>
      </w:tr>
      <w:tr>
        <w:tc>
          <w:tcPr>
            <w:tcW w:type="dxa" w:w="3273"/>
            <w:vAlign w:val="center"/>
          </w:tcPr>
          <w:p>
            <w:pPr>
              <w:spacing w:after="0"/>
            </w:pPr>
            <w:r>
              <w:rPr>
                <w:sz w:val="16"/>
              </w:rPr>
              <w:t>POST /v1/journeys</w:t>
            </w:r>
          </w:p>
        </w:tc>
        <w:tc>
          <w:tcPr>
            <w:tcW w:type="dxa" w:w="3273"/>
            <w:vAlign w:val="center"/>
          </w:tcPr>
          <w:p>
            <w:pPr>
              <w:spacing w:after="0"/>
            </w:pPr>
            <w:r>
              <w:rPr>
                <w:sz w:val="16"/>
              </w:rPr>
              <w:t>Create journey draft.</w:t>
            </w:r>
          </w:p>
        </w:tc>
        <w:tc>
          <w:tcPr>
            <w:tcW w:type="dxa" w:w="3273"/>
            <w:vAlign w:val="center"/>
          </w:tcPr>
          <w:p>
            <w:pPr>
              <w:spacing w:after="0"/>
            </w:pPr>
            <w:r>
              <w:rPr>
                <w:sz w:val="16"/>
              </w:rPr>
              <w:t>Authenticated author.</w:t>
            </w:r>
          </w:p>
        </w:tc>
      </w:tr>
      <w:tr>
        <w:tc>
          <w:tcPr>
            <w:tcW w:type="dxa" w:w="3273"/>
            <w:vAlign w:val="center"/>
            <w:shd w:fill="F0F5F6"/>
          </w:tcPr>
          <w:p>
            <w:pPr>
              <w:spacing w:after="0"/>
            </w:pPr>
            <w:r>
              <w:rPr>
                <w:sz w:val="16"/>
              </w:rPr>
              <w:t>GET /v1/journeys/:id</w:t>
            </w:r>
          </w:p>
        </w:tc>
        <w:tc>
          <w:tcPr>
            <w:tcW w:type="dxa" w:w="3273"/>
            <w:vAlign w:val="center"/>
            <w:shd w:fill="F0F5F6"/>
          </w:tcPr>
          <w:p>
            <w:pPr>
              <w:spacing w:after="0"/>
            </w:pPr>
            <w:r>
              <w:rPr>
                <w:sz w:val="16"/>
              </w:rPr>
              <w:t>Get owned or shared journey metadata.</w:t>
            </w:r>
          </w:p>
        </w:tc>
        <w:tc>
          <w:tcPr>
            <w:tcW w:type="dxa" w:w="3273"/>
            <w:vAlign w:val="center"/>
            <w:shd w:fill="F0F5F6"/>
          </w:tcPr>
          <w:p>
            <w:pPr>
              <w:spacing w:after="0"/>
            </w:pPr>
            <w:r>
              <w:rPr>
                <w:sz w:val="16"/>
              </w:rPr>
              <w:t>Owner or permissioned viewer.</w:t>
            </w:r>
          </w:p>
        </w:tc>
      </w:tr>
      <w:tr>
        <w:tc>
          <w:tcPr>
            <w:tcW w:type="dxa" w:w="3273"/>
            <w:vAlign w:val="center"/>
          </w:tcPr>
          <w:p>
            <w:pPr>
              <w:spacing w:after="0"/>
            </w:pPr>
            <w:r>
              <w:rPr>
                <w:sz w:val="16"/>
              </w:rPr>
              <w:t>PUT /v1/journeys/:id/draft</w:t>
            </w:r>
          </w:p>
        </w:tc>
        <w:tc>
          <w:tcPr>
            <w:tcW w:type="dxa" w:w="3273"/>
            <w:vAlign w:val="center"/>
          </w:tcPr>
          <w:p>
            <w:pPr>
              <w:spacing w:after="0"/>
            </w:pPr>
            <w:r>
              <w:rPr>
                <w:sz w:val="16"/>
              </w:rPr>
              <w:t>Replace validated draft; optimistic concurrency.</w:t>
            </w:r>
          </w:p>
        </w:tc>
        <w:tc>
          <w:tcPr>
            <w:tcW w:type="dxa" w:w="3273"/>
            <w:vAlign w:val="center"/>
          </w:tcPr>
          <w:p>
            <w:pPr>
              <w:spacing w:after="0"/>
            </w:pPr>
            <w:r>
              <w:rPr>
                <w:sz w:val="16"/>
              </w:rPr>
              <w:t>Owner/editor.</w:t>
            </w:r>
          </w:p>
        </w:tc>
      </w:tr>
      <w:tr>
        <w:tc>
          <w:tcPr>
            <w:tcW w:type="dxa" w:w="3273"/>
            <w:vAlign w:val="center"/>
            <w:shd w:fill="F0F5F6"/>
          </w:tcPr>
          <w:p>
            <w:pPr>
              <w:spacing w:after="0"/>
            </w:pPr>
            <w:r>
              <w:rPr>
                <w:sz w:val="16"/>
              </w:rPr>
              <w:t>POST /v1/journeys/:id/publish</w:t>
            </w:r>
          </w:p>
        </w:tc>
        <w:tc>
          <w:tcPr>
            <w:tcW w:type="dxa" w:w="3273"/>
            <w:vAlign w:val="center"/>
            <w:shd w:fill="F0F5F6"/>
          </w:tcPr>
          <w:p>
            <w:pPr>
              <w:spacing w:after="0"/>
            </w:pPr>
            <w:r>
              <w:rPr>
                <w:sz w:val="16"/>
              </w:rPr>
              <w:t>Create immutable version snapshot.</w:t>
            </w:r>
          </w:p>
        </w:tc>
        <w:tc>
          <w:tcPr>
            <w:tcW w:type="dxa" w:w="3273"/>
            <w:vAlign w:val="center"/>
            <w:shd w:fill="F0F5F6"/>
          </w:tcPr>
          <w:p>
            <w:pPr>
              <w:spacing w:after="0"/>
            </w:pPr>
            <w:r>
              <w:rPr>
                <w:sz w:val="16"/>
              </w:rPr>
              <w:t>Owner/editor.</w:t>
            </w:r>
          </w:p>
        </w:tc>
      </w:tr>
      <w:tr>
        <w:tc>
          <w:tcPr>
            <w:tcW w:type="dxa" w:w="3273"/>
            <w:vAlign w:val="center"/>
          </w:tcPr>
          <w:p>
            <w:pPr>
              <w:spacing w:after="0"/>
            </w:pPr>
            <w:r>
              <w:rPr>
                <w:sz w:val="16"/>
              </w:rPr>
              <w:t>POST /v1/versions/:id/invites</w:t>
            </w:r>
          </w:p>
        </w:tc>
        <w:tc>
          <w:tcPr>
            <w:tcW w:type="dxa" w:w="3273"/>
            <w:vAlign w:val="center"/>
          </w:tcPr>
          <w:p>
            <w:pPr>
              <w:spacing w:after="0"/>
            </w:pPr>
            <w:r>
              <w:rPr>
                <w:sz w:val="16"/>
              </w:rPr>
              <w:t>Generate scoped expiring invite.</w:t>
            </w:r>
          </w:p>
        </w:tc>
        <w:tc>
          <w:tcPr>
            <w:tcW w:type="dxa" w:w="3273"/>
            <w:vAlign w:val="center"/>
          </w:tcPr>
          <w:p>
            <w:pPr>
              <w:spacing w:after="0"/>
            </w:pPr>
            <w:r>
              <w:rPr>
                <w:sz w:val="16"/>
              </w:rPr>
              <w:t>Authorized publisher.</w:t>
            </w:r>
          </w:p>
        </w:tc>
      </w:tr>
      <w:tr>
        <w:tc>
          <w:tcPr>
            <w:tcW w:type="dxa" w:w="3273"/>
            <w:vAlign w:val="center"/>
            <w:shd w:fill="F0F5F6"/>
          </w:tcPr>
          <w:p>
            <w:pPr>
              <w:spacing w:after="0"/>
            </w:pPr>
            <w:r>
              <w:rPr>
                <w:sz w:val="16"/>
              </w:rPr>
              <w:t>POST /v1/invites/redeem</w:t>
            </w:r>
          </w:p>
        </w:tc>
        <w:tc>
          <w:tcPr>
            <w:tcW w:type="dxa" w:w="3273"/>
            <w:vAlign w:val="center"/>
            <w:shd w:fill="F0F5F6"/>
          </w:tcPr>
          <w:p>
            <w:pPr>
              <w:spacing w:after="0"/>
            </w:pPr>
            <w:r>
              <w:rPr>
                <w:sz w:val="16"/>
              </w:rPr>
              <w:t>Validate invite and reveal allowed version.</w:t>
            </w:r>
          </w:p>
        </w:tc>
        <w:tc>
          <w:tcPr>
            <w:tcW w:type="dxa" w:w="3273"/>
            <w:vAlign w:val="center"/>
            <w:shd w:fill="F0F5F6"/>
          </w:tcPr>
          <w:p>
            <w:pPr>
              <w:spacing w:after="0"/>
            </w:pPr>
            <w:r>
              <w:rPr>
                <w:sz w:val="16"/>
              </w:rPr>
              <w:t>Valid invitation with rate limits.</w:t>
            </w:r>
          </w:p>
        </w:tc>
      </w:tr>
      <w:tr>
        <w:tc>
          <w:tcPr>
            <w:tcW w:type="dxa" w:w="3273"/>
            <w:vAlign w:val="center"/>
          </w:tcPr>
          <w:p>
            <w:pPr>
              <w:spacing w:after="0"/>
            </w:pPr>
            <w:r>
              <w:rPr>
                <w:sz w:val="16"/>
              </w:rPr>
              <w:t>POST /v1/runs</w:t>
            </w:r>
          </w:p>
        </w:tc>
        <w:tc>
          <w:tcPr>
            <w:tcW w:type="dxa" w:w="3273"/>
            <w:vAlign w:val="center"/>
          </w:tcPr>
          <w:p>
            <w:pPr>
              <w:spacing w:after="0"/>
            </w:pPr>
            <w:r>
              <w:rPr>
                <w:sz w:val="16"/>
              </w:rPr>
              <w:t>Start a minimal progress record (optional).</w:t>
            </w:r>
          </w:p>
        </w:tc>
        <w:tc>
          <w:tcPr>
            <w:tcW w:type="dxa" w:w="3273"/>
            <w:vAlign w:val="center"/>
          </w:tcPr>
          <w:p>
            <w:pPr>
              <w:spacing w:after="0"/>
            </w:pPr>
            <w:r>
              <w:rPr>
                <w:sz w:val="16"/>
              </w:rPr>
              <w:t>Eligible learner.</w:t>
            </w:r>
          </w:p>
        </w:tc>
      </w:tr>
      <w:tr>
        <w:tc>
          <w:tcPr>
            <w:tcW w:type="dxa" w:w="3273"/>
            <w:vAlign w:val="center"/>
            <w:shd w:fill="F0F5F6"/>
          </w:tcPr>
          <w:p>
            <w:pPr>
              <w:spacing w:after="0"/>
            </w:pPr>
            <w:r>
              <w:rPr>
                <w:sz w:val="16"/>
              </w:rPr>
              <w:t>PATCH /v1/runs/:id</w:t>
            </w:r>
          </w:p>
        </w:tc>
        <w:tc>
          <w:tcPr>
            <w:tcW w:type="dxa" w:w="3273"/>
            <w:vAlign w:val="center"/>
            <w:shd w:fill="F0F5F6"/>
          </w:tcPr>
          <w:p>
            <w:pPr>
              <w:spacing w:after="0"/>
            </w:pPr>
            <w:r>
              <w:rPr>
                <w:sz w:val="16"/>
              </w:rPr>
              <w:t>Save step/status; enforce monotonic, validated transitions.</w:t>
            </w:r>
          </w:p>
        </w:tc>
        <w:tc>
          <w:tcPr>
            <w:tcW w:type="dxa" w:w="3273"/>
            <w:vAlign w:val="center"/>
            <w:shd w:fill="F0F5F6"/>
          </w:tcPr>
          <w:p>
            <w:pPr>
              <w:spacing w:after="0"/>
            </w:pPr>
            <w:r>
              <w:rPr>
                <w:sz w:val="16"/>
              </w:rPr>
              <w:t>Run owner/learner.</w:t>
            </w:r>
          </w:p>
        </w:tc>
      </w:tr>
      <w:tr>
        <w:tc>
          <w:tcPr>
            <w:tcW w:type="dxa" w:w="3273"/>
            <w:vAlign w:val="center"/>
          </w:tcPr>
          <w:p>
            <w:pPr>
              <w:spacing w:after="0"/>
            </w:pPr>
            <w:r>
              <w:rPr>
                <w:sz w:val="16"/>
              </w:rPr>
              <w:t>POST /v1/step-issues</w:t>
            </w:r>
          </w:p>
        </w:tc>
        <w:tc>
          <w:tcPr>
            <w:tcW w:type="dxa" w:w="3273"/>
            <w:vAlign w:val="center"/>
          </w:tcPr>
          <w:p>
            <w:pPr>
              <w:spacing w:after="0"/>
            </w:pPr>
            <w:r>
              <w:rPr>
                <w:sz w:val="16"/>
              </w:rPr>
              <w:t>Report target mismatch with sanitized diagnostics.</w:t>
            </w:r>
          </w:p>
        </w:tc>
        <w:tc>
          <w:tcPr>
            <w:tcW w:type="dxa" w:w="3273"/>
            <w:vAlign w:val="center"/>
          </w:tcPr>
          <w:p>
            <w:pPr>
              <w:spacing w:after="0"/>
            </w:pPr>
            <w:r>
              <w:rPr>
                <w:sz w:val="16"/>
              </w:rPr>
              <w:t>Eligible run/author.</w:t>
            </w:r>
          </w:p>
        </w:tc>
      </w:tr>
    </w:tbl>
    <w:p/>
    <w:p>
      <w:pPr>
        <w:pStyle w:val="Heading1"/>
      </w:pPr>
      <w:r>
        <w:t>10. Security and permissions checklist</w:t>
      </w:r>
    </w:p>
    <w:p>
      <w:pPr>
        <w:pStyle w:val="ListBullet"/>
      </w:pPr>
      <w:r>
        <w:t>Request site access per host, show precise hostname and allow revocation; do not request broad browsing history by default.</w:t>
      </w:r>
    </w:p>
    <w:p>
      <w:pPr>
        <w:pStyle w:val="ListBullet"/>
      </w:pPr>
      <w:r>
        <w:t>Validate every runtime message origin, sender, payload and action; never trust messages originating from page scripts.</w:t>
      </w:r>
    </w:p>
    <w:p>
      <w:pPr>
        <w:pStyle w:val="ListBullet"/>
      </w:pPr>
      <w:r>
        <w:t>Render descriptions as safe text / sanitized markup; journey JSON must not contain executable code.</w:t>
      </w:r>
    </w:p>
    <w:p>
      <w:pPr>
        <w:pStyle w:val="ListBullet"/>
      </w:pPr>
      <w:r>
        <w:t>Use CSRF/session controls appropriate to chosen auth scheme; use server-side rate limits for invitations and issue reporting.</w:t>
      </w:r>
    </w:p>
    <w:p>
      <w:pPr>
        <w:pStyle w:val="ListBullet"/>
      </w:pPr>
      <w:r>
        <w:t>Do not store or transmit passwords, form values, cookies, authorization tokens, payment fields or raw DOM snapshots.</w:t>
      </w:r>
    </w:p>
    <w:p>
      <w:pPr>
        <w:pStyle w:val="ListBullet"/>
      </w:pPr>
      <w:r>
        <w:t>Use versioned extension/API contracts; prevent stale clients from executing unsupported step definitions.</w:t>
      </w:r>
    </w:p>
    <w:p>
      <w:pPr>
        <w:pStyle w:val="ListBullet"/>
      </w:pPr>
      <w:r>
        <w:t>Require human confirmation for any potential side effect; passive observation only in MVP.</w:t>
      </w:r>
    </w:p>
    <w:p>
      <w:pPr>
        <w:pStyle w:val="ListBullet"/>
      </w:pPr>
      <w:r>
        <w:t>Keep target DOM probing bounded and avoid long-running MutationObserver loops or unbounded data collection.</w:t>
      </w:r>
    </w:p>
    <w:p>
      <w:pPr>
        <w:pStyle w:val="Heading1"/>
      </w:pPr>
      <w:r>
        <w:t>11. Testing strategy and release matrix</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trPr>
        <w:tc>
          <w:tcPr>
            <w:tcW w:type="dxa" w:w="3273"/>
            <w:shd w:fill="16334C"/>
          </w:tcPr>
          <w:p>
            <w:pPr>
              <w:spacing w:after="0"/>
            </w:pPr>
            <w:r>
              <w:rPr>
                <w:b/>
                <w:color w:val="FFFFFF"/>
                <w:sz w:val="17"/>
              </w:rPr>
              <w:t>Level</w:t>
            </w:r>
          </w:p>
        </w:tc>
        <w:tc>
          <w:tcPr>
            <w:tcW w:type="dxa" w:w="3273"/>
            <w:shd w:fill="16334C"/>
          </w:tcPr>
          <w:p>
            <w:pPr>
              <w:spacing w:after="0"/>
            </w:pPr>
            <w:r>
              <w:rPr>
                <w:b/>
                <w:color w:val="FFFFFF"/>
                <w:sz w:val="17"/>
              </w:rPr>
              <w:t>Test set</w:t>
            </w:r>
          </w:p>
        </w:tc>
        <w:tc>
          <w:tcPr>
            <w:tcW w:type="dxa" w:w="3273"/>
            <w:shd w:fill="16334C"/>
          </w:tcPr>
          <w:p>
            <w:pPr>
              <w:spacing w:after="0"/>
            </w:pPr>
            <w:r>
              <w:rPr>
                <w:b/>
                <w:color w:val="FFFFFF"/>
                <w:sz w:val="17"/>
              </w:rPr>
              <w:t>Required evidence</w:t>
            </w:r>
          </w:p>
        </w:tc>
      </w:tr>
      <w:tr>
        <w:tc>
          <w:tcPr>
            <w:tcW w:type="dxa" w:w="3273"/>
            <w:vAlign w:val="center"/>
          </w:tcPr>
          <w:p>
            <w:pPr>
              <w:spacing w:after="0"/>
            </w:pPr>
            <w:r>
              <w:rPr>
                <w:sz w:val="16"/>
              </w:rPr>
              <w:t>Unit</w:t>
            </w:r>
          </w:p>
        </w:tc>
        <w:tc>
          <w:tcPr>
            <w:tcW w:type="dxa" w:w="3273"/>
            <w:vAlign w:val="center"/>
          </w:tcPr>
          <w:p>
            <w:pPr>
              <w:spacing w:after="0"/>
            </w:pPr>
            <w:r>
              <w:rPr>
                <w:sz w:val="16"/>
              </w:rPr>
              <w:t>Selector ranking, URL matching, schema validation, engine transitions, expiry.</w:t>
            </w:r>
          </w:p>
        </w:tc>
        <w:tc>
          <w:tcPr>
            <w:tcW w:type="dxa" w:w="3273"/>
            <w:vAlign w:val="center"/>
          </w:tcPr>
          <w:p>
            <w:pPr>
              <w:spacing w:after="0"/>
            </w:pPr>
            <w:r>
              <w:rPr>
                <w:sz w:val="16"/>
              </w:rPr>
              <w:t>CI results and boundary cases.</w:t>
            </w:r>
          </w:p>
        </w:tc>
      </w:tr>
      <w:tr>
        <w:tc>
          <w:tcPr>
            <w:tcW w:type="dxa" w:w="3273"/>
            <w:vAlign w:val="center"/>
            <w:shd w:fill="F0F5F6"/>
          </w:tcPr>
          <w:p>
            <w:pPr>
              <w:spacing w:after="0"/>
            </w:pPr>
            <w:r>
              <w:rPr>
                <w:sz w:val="16"/>
              </w:rPr>
              <w:t>Integration</w:t>
            </w:r>
          </w:p>
        </w:tc>
        <w:tc>
          <w:tcPr>
            <w:tcW w:type="dxa" w:w="3273"/>
            <w:vAlign w:val="center"/>
            <w:shd w:fill="F0F5F6"/>
          </w:tcPr>
          <w:p>
            <w:pPr>
              <w:spacing w:after="0"/>
            </w:pPr>
            <w:r>
              <w:rPr>
                <w:sz w:val="16"/>
              </w:rPr>
              <w:t>Extension messaging, API auth, invite revoke, persistence, restart recovery.</w:t>
            </w:r>
          </w:p>
        </w:tc>
        <w:tc>
          <w:tcPr>
            <w:tcW w:type="dxa" w:w="3273"/>
            <w:vAlign w:val="center"/>
            <w:shd w:fill="F0F5F6"/>
          </w:tcPr>
          <w:p>
            <w:pPr>
              <w:spacing w:after="0"/>
            </w:pPr>
            <w:r>
              <w:rPr>
                <w:sz w:val="16"/>
              </w:rPr>
              <w:t>Fresh test account and session.</w:t>
            </w:r>
          </w:p>
        </w:tc>
      </w:tr>
      <w:tr>
        <w:tc>
          <w:tcPr>
            <w:tcW w:type="dxa" w:w="3273"/>
            <w:vAlign w:val="center"/>
          </w:tcPr>
          <w:p>
            <w:pPr>
              <w:spacing w:after="0"/>
            </w:pPr>
            <w:r>
              <w:rPr>
                <w:sz w:val="16"/>
              </w:rPr>
              <w:t>E2E</w:t>
            </w:r>
          </w:p>
        </w:tc>
        <w:tc>
          <w:tcPr>
            <w:tcW w:type="dxa" w:w="3273"/>
            <w:vAlign w:val="center"/>
          </w:tcPr>
          <w:p>
            <w:pPr>
              <w:spacing w:after="0"/>
            </w:pPr>
            <w:r>
              <w:rPr>
                <w:sz w:val="16"/>
              </w:rPr>
              <w:t>Author → publish → invite → permission → play → pause → finish.</w:t>
            </w:r>
          </w:p>
        </w:tc>
        <w:tc>
          <w:tcPr>
            <w:tcW w:type="dxa" w:w="3273"/>
            <w:vAlign w:val="center"/>
          </w:tcPr>
          <w:p>
            <w:pPr>
              <w:spacing w:after="0"/>
            </w:pPr>
            <w:r>
              <w:rPr>
                <w:sz w:val="16"/>
              </w:rPr>
              <w:t>Playwright video/screenshots on demo/staging.</w:t>
            </w:r>
          </w:p>
        </w:tc>
      </w:tr>
      <w:tr>
        <w:tc>
          <w:tcPr>
            <w:tcW w:type="dxa" w:w="3273"/>
            <w:vAlign w:val="center"/>
            <w:shd w:fill="F0F5F6"/>
          </w:tcPr>
          <w:p>
            <w:pPr>
              <w:spacing w:after="0"/>
            </w:pPr>
            <w:r>
              <w:rPr>
                <w:sz w:val="16"/>
              </w:rPr>
              <w:t>Compatibility</w:t>
            </w:r>
          </w:p>
        </w:tc>
        <w:tc>
          <w:tcPr>
            <w:tcW w:type="dxa" w:w="3273"/>
            <w:vAlign w:val="center"/>
            <w:shd w:fill="F0F5F6"/>
          </w:tcPr>
          <w:p>
            <w:pPr>
              <w:spacing w:after="0"/>
            </w:pPr>
            <w:r>
              <w:rPr>
                <w:sz w:val="16"/>
              </w:rPr>
              <w:t>Static DOM, SPA, loading delays, re-render, zoom, narrow viewport.</w:t>
            </w:r>
          </w:p>
        </w:tc>
        <w:tc>
          <w:tcPr>
            <w:tcW w:type="dxa" w:w="3273"/>
            <w:vAlign w:val="center"/>
            <w:shd w:fill="F0F5F6"/>
          </w:tcPr>
          <w:p>
            <w:pPr>
              <w:spacing w:after="0"/>
            </w:pPr>
            <w:r>
              <w:rPr>
                <w:sz w:val="16"/>
              </w:rPr>
              <w:t>Supported/unsupported matrix updated.</w:t>
            </w:r>
          </w:p>
        </w:tc>
      </w:tr>
      <w:tr>
        <w:tc>
          <w:tcPr>
            <w:tcW w:type="dxa" w:w="3273"/>
            <w:vAlign w:val="center"/>
          </w:tcPr>
          <w:p>
            <w:pPr>
              <w:spacing w:after="0"/>
            </w:pPr>
            <w:r>
              <w:rPr>
                <w:sz w:val="16"/>
              </w:rPr>
              <w:t>Negative</w:t>
            </w:r>
          </w:p>
        </w:tc>
        <w:tc>
          <w:tcPr>
            <w:tcW w:type="dxa" w:w="3273"/>
            <w:vAlign w:val="center"/>
          </w:tcPr>
          <w:p>
            <w:pPr>
              <w:spacing w:after="0"/>
            </w:pPr>
            <w:r>
              <w:rPr>
                <w:sz w:val="16"/>
              </w:rPr>
              <w:t>Wrong domain, denied permission, missing/multiple targets, expired invite, offline API.</w:t>
            </w:r>
          </w:p>
        </w:tc>
        <w:tc>
          <w:tcPr>
            <w:tcW w:type="dxa" w:w="3273"/>
            <w:vAlign w:val="center"/>
          </w:tcPr>
          <w:p>
            <w:pPr>
              <w:spacing w:after="0"/>
            </w:pPr>
            <w:r>
              <w:rPr>
                <w:sz w:val="16"/>
              </w:rPr>
              <w:t>Clear recovery messaging; no false completion.</w:t>
            </w:r>
          </w:p>
        </w:tc>
      </w:tr>
      <w:tr>
        <w:tc>
          <w:tcPr>
            <w:tcW w:type="dxa" w:w="3273"/>
            <w:vAlign w:val="center"/>
            <w:shd w:fill="F0F5F6"/>
          </w:tcPr>
          <w:p>
            <w:pPr>
              <w:spacing w:after="0"/>
            </w:pPr>
            <w:r>
              <w:rPr>
                <w:sz w:val="16"/>
              </w:rPr>
              <w:t>Privacy/accessibility</w:t>
            </w:r>
          </w:p>
        </w:tc>
        <w:tc>
          <w:tcPr>
            <w:tcW w:type="dxa" w:w="3273"/>
            <w:vAlign w:val="center"/>
            <w:shd w:fill="F0F5F6"/>
          </w:tcPr>
          <w:p>
            <w:pPr>
              <w:spacing w:after="0"/>
            </w:pPr>
            <w:r>
              <w:rPr>
                <w:sz w:val="16"/>
              </w:rPr>
              <w:t>Sensitive inputs, role permission checks, keyboard, screen reader, reduced motion.</w:t>
            </w:r>
          </w:p>
        </w:tc>
        <w:tc>
          <w:tcPr>
            <w:tcW w:type="dxa" w:w="3273"/>
            <w:vAlign w:val="center"/>
            <w:shd w:fill="F0F5F6"/>
          </w:tcPr>
          <w:p>
            <w:pPr>
              <w:spacing w:after="0"/>
            </w:pPr>
            <w:r>
              <w:rPr>
                <w:sz w:val="16"/>
              </w:rPr>
              <w:t>Signed QA checklist; logs inspected for sensitive content.</w:t>
            </w:r>
          </w:p>
        </w:tc>
      </w:tr>
      <w:tr>
        <w:tc>
          <w:tcPr>
            <w:tcW w:type="dxa" w:w="3273"/>
            <w:vAlign w:val="center"/>
          </w:tcPr>
          <w:p>
            <w:pPr>
              <w:spacing w:after="0"/>
            </w:pPr>
            <w:r>
              <w:rPr>
                <w:sz w:val="16"/>
              </w:rPr>
              <w:t>Performance</w:t>
            </w:r>
          </w:p>
        </w:tc>
        <w:tc>
          <w:tcPr>
            <w:tcW w:type="dxa" w:w="3273"/>
            <w:vAlign w:val="center"/>
          </w:tcPr>
          <w:p>
            <w:pPr>
              <w:spacing w:after="0"/>
            </w:pPr>
            <w:r>
              <w:rPr>
                <w:sz w:val="16"/>
              </w:rPr>
              <w:t>Long pages, multiple observers, extension memory and layout shift.</w:t>
            </w:r>
          </w:p>
        </w:tc>
        <w:tc>
          <w:tcPr>
            <w:tcW w:type="dxa" w:w="3273"/>
            <w:vAlign w:val="center"/>
          </w:tcPr>
          <w:p>
            <w:pPr>
              <w:spacing w:after="0"/>
            </w:pPr>
            <w:r>
              <w:rPr>
                <w:sz w:val="16"/>
              </w:rPr>
              <w:t>Measured performance against baseline; event listeners cleaned up.</w:t>
            </w:r>
          </w:p>
        </w:tc>
      </w:tr>
    </w:tbl>
    <w:p/>
    <w:p>
      <w:pPr>
        <w:pStyle w:val="Heading1"/>
      </w:pPr>
      <w:r>
        <w:t>12. Release, operations and rollback</w:t>
      </w:r>
    </w:p>
    <w:p>
      <w:pPr>
        <w:ind w:left="302" w:hanging="302"/>
      </w:pPr>
      <w:r>
        <w:rPr>
          <w:b/>
        </w:rPr>
        <w:t xml:space="preserve">1.  </w:t>
      </w:r>
      <w:r>
        <w:t>Create staging backend and separate development extension ID/configuration; never point test builds at production by accident.</w:t>
      </w:r>
    </w:p>
    <w:p>
      <w:pPr>
        <w:ind w:left="302" w:hanging="302"/>
      </w:pPr>
      <w:r>
        <w:rPr>
          <w:b/>
        </w:rPr>
        <w:t xml:space="preserve">2.  </w:t>
      </w:r>
      <w:r>
        <w:t>Review DB migrations, backups and recovery path; keep published version records immutable.</w:t>
      </w:r>
    </w:p>
    <w:p>
      <w:pPr>
        <w:ind w:left="302" w:hanging="302"/>
      </w:pPr>
      <w:r>
        <w:rPr>
          <w:b/>
        </w:rPr>
        <w:t xml:space="preserve">3.  </w:t>
      </w:r>
      <w:r>
        <w:t>Run CI and manual clean-install smoke tests; verify no secrets in extension bundle.</w:t>
      </w:r>
    </w:p>
    <w:p>
      <w:pPr>
        <w:ind w:left="302" w:hanging="302"/>
      </w:pPr>
      <w:r>
        <w:rPr>
          <w:b/>
        </w:rPr>
        <w:t xml:space="preserve">4.  </w:t>
      </w:r>
      <w:r>
        <w:t>Deploy API, smoke-test health/auth, publish Chrome extension, and monitor errors/permission denial rates.</w:t>
      </w:r>
    </w:p>
    <w:p>
      <w:pPr>
        <w:ind w:left="302" w:hanging="302"/>
      </w:pPr>
      <w:r>
        <w:rPr>
          <w:b/>
        </w:rPr>
        <w:t xml:space="preserve">5.  </w:t>
      </w:r>
      <w:r>
        <w:t>Rollback API to last compatible version if required; disable affected feature flags or unpublish broken journey versions while avoiding data loss.</w:t>
      </w:r>
    </w:p>
    <w:p>
      <w:pPr>
        <w:ind w:left="302" w:hanging="302"/>
      </w:pPr>
      <w:r>
        <w:rPr>
          <w:b/>
        </w:rPr>
        <w:t xml:space="preserve">6.  </w:t>
      </w:r>
      <w:r>
        <w:t>Maintain a release note and compatibility matrix of extension, schema and backend API versions.</w:t>
      </w:r>
    </w:p>
    <w:p>
      <w:pPr>
        <w:pStyle w:val="Heading1"/>
      </w:pPr>
      <w:r>
        <w:t>13. Phase 2+ roadmap (after MVP evidence)</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trPr>
        <w:tc>
          <w:tcPr>
            <w:tcW w:type="dxa" w:w="3273"/>
            <w:shd w:fill="16334C"/>
          </w:tcPr>
          <w:p>
            <w:pPr>
              <w:spacing w:after="0"/>
            </w:pPr>
            <w:r>
              <w:rPr>
                <w:b/>
                <w:color w:val="FFFFFF"/>
                <w:sz w:val="17"/>
              </w:rPr>
              <w:t>Iteration</w:t>
            </w:r>
          </w:p>
        </w:tc>
        <w:tc>
          <w:tcPr>
            <w:tcW w:type="dxa" w:w="3273"/>
            <w:shd w:fill="16334C"/>
          </w:tcPr>
          <w:p>
            <w:pPr>
              <w:spacing w:after="0"/>
            </w:pPr>
            <w:r>
              <w:rPr>
                <w:b/>
                <w:color w:val="FFFFFF"/>
                <w:sz w:val="17"/>
              </w:rPr>
              <w:t>Candidate features</w:t>
            </w:r>
          </w:p>
        </w:tc>
        <w:tc>
          <w:tcPr>
            <w:tcW w:type="dxa" w:w="3273"/>
            <w:shd w:fill="16334C"/>
          </w:tcPr>
          <w:p>
            <w:pPr>
              <w:spacing w:after="0"/>
            </w:pPr>
            <w:r>
              <w:rPr>
                <w:b/>
                <w:color w:val="FFFFFF"/>
                <w:sz w:val="17"/>
              </w:rPr>
              <w:t>Prerequisite</w:t>
            </w:r>
          </w:p>
        </w:tc>
      </w:tr>
      <w:tr>
        <w:tc>
          <w:tcPr>
            <w:tcW w:type="dxa" w:w="3273"/>
            <w:vAlign w:val="center"/>
          </w:tcPr>
          <w:p>
            <w:pPr>
              <w:spacing w:after="0"/>
            </w:pPr>
            <w:r>
              <w:rPr>
                <w:sz w:val="16"/>
              </w:rPr>
              <w:t>Team rollout</w:t>
            </w:r>
          </w:p>
        </w:tc>
        <w:tc>
          <w:tcPr>
            <w:tcW w:type="dxa" w:w="3273"/>
            <w:vAlign w:val="center"/>
          </w:tcPr>
          <w:p>
            <w:pPr>
              <w:spacing w:after="0"/>
            </w:pPr>
            <w:r>
              <w:rPr>
                <w:sz w:val="16"/>
              </w:rPr>
              <w:t>Workspaces, RBAC, assign training, completion dashboard.</w:t>
            </w:r>
          </w:p>
        </w:tc>
        <w:tc>
          <w:tcPr>
            <w:tcW w:type="dxa" w:w="3273"/>
            <w:vAlign w:val="center"/>
          </w:tcPr>
          <w:p>
            <w:pPr>
              <w:spacing w:after="0"/>
            </w:pPr>
            <w:r>
              <w:rPr>
                <w:sz w:val="16"/>
              </w:rPr>
              <w:t>Privacy model and clear learner consent.</w:t>
            </w:r>
          </w:p>
        </w:tc>
      </w:tr>
      <w:tr>
        <w:tc>
          <w:tcPr>
            <w:tcW w:type="dxa" w:w="3273"/>
            <w:vAlign w:val="center"/>
            <w:shd w:fill="F0F5F6"/>
          </w:tcPr>
          <w:p>
            <w:pPr>
              <w:spacing w:after="0"/>
            </w:pPr>
            <w:r>
              <w:rPr>
                <w:sz w:val="16"/>
              </w:rPr>
              <w:t>Advanced authoring</w:t>
            </w:r>
          </w:p>
        </w:tc>
        <w:tc>
          <w:tcPr>
            <w:tcW w:type="dxa" w:w="3273"/>
            <w:vAlign w:val="center"/>
            <w:shd w:fill="F0F5F6"/>
          </w:tcPr>
          <w:p>
            <w:pPr>
              <w:spacing w:after="0"/>
            </w:pPr>
            <w:r>
              <w:rPr>
                <w:sz w:val="16"/>
              </w:rPr>
              <w:t>Branches, wait-for-state, media, language variants, reusable snippets.</w:t>
            </w:r>
          </w:p>
        </w:tc>
        <w:tc>
          <w:tcPr>
            <w:tcW w:type="dxa" w:w="3273"/>
            <w:vAlign w:val="center"/>
            <w:shd w:fill="F0F5F6"/>
          </w:tcPr>
          <w:p>
            <w:pPr>
              <w:spacing w:after="0"/>
            </w:pPr>
            <w:r>
              <w:rPr>
                <w:sz w:val="16"/>
              </w:rPr>
              <w:t>Stable selector telemetry and schema migration.</w:t>
            </w:r>
          </w:p>
        </w:tc>
      </w:tr>
      <w:tr>
        <w:tc>
          <w:tcPr>
            <w:tcW w:type="dxa" w:w="3273"/>
            <w:vAlign w:val="center"/>
          </w:tcPr>
          <w:p>
            <w:pPr>
              <w:spacing w:after="0"/>
            </w:pPr>
            <w:r>
              <w:rPr>
                <w:sz w:val="16"/>
              </w:rPr>
              <w:t>Live collaboration</w:t>
            </w:r>
          </w:p>
        </w:tc>
        <w:tc>
          <w:tcPr>
            <w:tcW w:type="dxa" w:w="3273"/>
            <w:vAlign w:val="center"/>
          </w:tcPr>
          <w:p>
            <w:pPr>
              <w:spacing w:after="0"/>
            </w:pPr>
            <w:r>
              <w:rPr>
                <w:sz w:val="16"/>
              </w:rPr>
              <w:t>Coaching sessions, co-edit review, comments.</w:t>
            </w:r>
          </w:p>
        </w:tc>
        <w:tc>
          <w:tcPr>
            <w:tcW w:type="dxa" w:w="3273"/>
            <w:vAlign w:val="center"/>
          </w:tcPr>
          <w:p>
            <w:pPr>
              <w:spacing w:after="0"/>
            </w:pPr>
            <w:r>
              <w:rPr>
                <w:sz w:val="16"/>
              </w:rPr>
              <w:t>Multi-user permissions and realtime infrastructure.</w:t>
            </w:r>
          </w:p>
        </w:tc>
      </w:tr>
      <w:tr>
        <w:tc>
          <w:tcPr>
            <w:tcW w:type="dxa" w:w="3273"/>
            <w:vAlign w:val="center"/>
            <w:shd w:fill="F0F5F6"/>
          </w:tcPr>
          <w:p>
            <w:pPr>
              <w:spacing w:after="0"/>
            </w:pPr>
            <w:r>
              <w:rPr>
                <w:sz w:val="16"/>
              </w:rPr>
              <w:t>Website-owner SDK</w:t>
            </w:r>
          </w:p>
        </w:tc>
        <w:tc>
          <w:tcPr>
            <w:tcW w:type="dxa" w:w="3273"/>
            <w:vAlign w:val="center"/>
            <w:shd w:fill="F0F5F6"/>
          </w:tcPr>
          <w:p>
            <w:pPr>
              <w:spacing w:after="0"/>
            </w:pPr>
            <w:r>
              <w:rPr>
                <w:sz w:val="16"/>
              </w:rPr>
              <w:t>No-extension playback for first-party websites.</w:t>
            </w:r>
          </w:p>
        </w:tc>
        <w:tc>
          <w:tcPr>
            <w:tcW w:type="dxa" w:w="3273"/>
            <w:vAlign w:val="center"/>
            <w:shd w:fill="F0F5F6"/>
          </w:tcPr>
          <w:p>
            <w:pPr>
              <w:spacing w:after="0"/>
            </w:pPr>
            <w:r>
              <w:rPr>
                <w:sz w:val="16"/>
              </w:rPr>
              <w:t>Website opt-in, separate SDK security/CSP and deployment model.</w:t>
            </w:r>
          </w:p>
        </w:tc>
      </w:tr>
      <w:tr>
        <w:tc>
          <w:tcPr>
            <w:tcW w:type="dxa" w:w="3273"/>
            <w:vAlign w:val="center"/>
          </w:tcPr>
          <w:p>
            <w:pPr>
              <w:spacing w:after="0"/>
            </w:pPr>
            <w:r>
              <w:rPr>
                <w:sz w:val="16"/>
              </w:rPr>
              <w:t>AI assistance</w:t>
            </w:r>
          </w:p>
        </w:tc>
        <w:tc>
          <w:tcPr>
            <w:tcW w:type="dxa" w:w="3273"/>
            <w:vAlign w:val="center"/>
          </w:tcPr>
          <w:p>
            <w:pPr>
              <w:spacing w:after="0"/>
            </w:pPr>
            <w:r>
              <w:rPr>
                <w:sz w:val="16"/>
              </w:rPr>
              <w:t>Suggest draft instructions or targets for author approval.</w:t>
            </w:r>
          </w:p>
        </w:tc>
        <w:tc>
          <w:tcPr>
            <w:tcW w:type="dxa" w:w="3273"/>
            <w:vAlign w:val="center"/>
          </w:tcPr>
          <w:p>
            <w:pPr>
              <w:spacing w:after="0"/>
            </w:pPr>
            <w:r>
              <w:rPr>
                <w:sz w:val="16"/>
              </w:rPr>
              <w:t>Explicit content consent, redaction and measurable quality.</w:t>
            </w:r>
          </w:p>
        </w:tc>
      </w:tr>
      <w:tr>
        <w:tc>
          <w:tcPr>
            <w:tcW w:type="dxa" w:w="3273"/>
            <w:vAlign w:val="center"/>
            <w:shd w:fill="F0F5F6"/>
          </w:tcPr>
          <w:p>
            <w:pPr>
              <w:spacing w:after="0"/>
            </w:pPr>
            <w:r>
              <w:rPr>
                <w:sz w:val="16"/>
              </w:rPr>
              <w:t>Enterprise</w:t>
            </w:r>
          </w:p>
        </w:tc>
        <w:tc>
          <w:tcPr>
            <w:tcW w:type="dxa" w:w="3273"/>
            <w:vAlign w:val="center"/>
            <w:shd w:fill="F0F5F6"/>
          </w:tcPr>
          <w:p>
            <w:pPr>
              <w:spacing w:after="0"/>
            </w:pPr>
            <w:r>
              <w:rPr>
                <w:sz w:val="16"/>
              </w:rPr>
              <w:t>SSO, policy controls, org analytics and private hosting.</w:t>
            </w:r>
          </w:p>
        </w:tc>
        <w:tc>
          <w:tcPr>
            <w:tcW w:type="dxa" w:w="3273"/>
            <w:vAlign w:val="center"/>
            <w:shd w:fill="F0F5F6"/>
          </w:tcPr>
          <w:p>
            <w:pPr>
              <w:spacing w:after="0"/>
            </w:pPr>
            <w:r>
              <w:rPr>
                <w:sz w:val="16"/>
              </w:rPr>
              <w:t>Operational maturity and security review.</w:t>
            </w:r>
          </w:p>
        </w:tc>
      </w:tr>
    </w:tbl>
    <w:p/>
    <w:p>
      <w:pPr>
        <w:pStyle w:val="Heading1"/>
      </w:pPr>
      <w:r>
        <w:t>14. Definition of done and immediate next actions</w:t>
      </w:r>
    </w:p>
    <w:p>
      <w:pPr>
        <w:pStyle w:val="ListBullet"/>
      </w:pPr>
      <w:r>
        <w:t>Schema, origin policy, supported site types and failure handling are documented and tested.</w:t>
      </w:r>
    </w:p>
    <w:p>
      <w:pPr>
        <w:pStyle w:val="ListBullet"/>
      </w:pPr>
      <w:r>
        <w:t>MVP workflows are functional on controlled demo and at least one authorized real staging application.</w:t>
      </w:r>
    </w:p>
    <w:p>
      <w:pPr>
        <w:pStyle w:val="ListBullet"/>
      </w:pPr>
      <w:r>
        <w:t>All high-severity security/privacy findings resolved; code formatting, typecheck, unit/integration/E2E gates pass.</w:t>
      </w:r>
    </w:p>
    <w:p>
      <w:pPr>
        <w:pStyle w:val="ListBullet"/>
      </w:pPr>
      <w:r>
        <w:t>Learner retains full control; unknown target, permissions rejection, version mismatch and offline events fail safely.</w:t>
      </w:r>
    </w:p>
    <w:p>
      <w:pPr>
        <w:pStyle w:val="ListBullet"/>
      </w:pPr>
      <w:r>
        <w:t>Chrome Web Store materials, privacy policy, customer support contact, operational runbook and rollback path are ready.</w:t>
      </w:r>
    </w:p>
    <w:tbl>
      <w:tblPr>
        <w:tblW w:type="auto" w:w="0"/>
        <w:tblLook w:firstColumn="1" w:firstRow="1" w:lastColumn="0" w:lastRow="0" w:noHBand="0" w:noVBand="1" w:val="04A0"/>
      </w:tblPr>
      <w:tblGrid>
        <w:gridCol w:w="9820"/>
      </w:tblGrid>
      <w:tr>
        <w:tc>
          <w:tcPr>
            <w:tcW w:type="dxa" w:w="9820"/>
            <w:shd w:fill="E7F3F0"/>
          </w:tcPr>
          <w:p>
            <w:r/>
            <w:r>
              <w:rPr>
                <w:b/>
                <w:color w:val="10736F"/>
              </w:rPr>
              <w:t xml:space="preserve">First implementation task  </w:t>
            </w:r>
            <w:r>
              <w:t>Build the controlled demo website and a tiny MV3 extension that injects a scoped highlight into a user-approved origin. Prove target selection, SPA navigation and safe teardown before building the full SaaS layer.</w:t>
            </w:r>
          </w:p>
        </w:tc>
      </w:tr>
    </w:tbl>
    <w:p/>
    <w:sectPr w:rsidR="00FC693F" w:rsidRPr="0006063C" w:rsidSect="00034616">
      <w:headerReference w:type="default" r:id="rId9"/>
      <w:footerReference w:type="default" r:id="rId10"/>
      <w:pgSz w:w="12240" w:h="15840"/>
      <w:pgMar w:top="1152" w:right="1210" w:bottom="1037" w:left="121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E7C"/>
        <w:sz w:val="15"/>
      </w:rPr>
      <w:t xml:space="preserve">Working plan  •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WEBJOURNEY   /   DEVELOPMENT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ptos" w:hAnsi="Aptos"/>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16233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62339"/>
      <w:sz w:val="23"/>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10736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6233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color w:val="1E293B"/>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color w:val="1E293B"/>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F6E7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