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BE1C" w14:textId="77777777" w:rsidR="00657AFF" w:rsidRPr="00657AFF" w:rsidRDefault="00657AFF" w:rsidP="00657A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2F2F"/>
          <w:sz w:val="36"/>
          <w:szCs w:val="36"/>
        </w:rPr>
      </w:pPr>
      <w:r w:rsidRPr="00657AFF">
        <w:rPr>
          <w:rFonts w:ascii="Arial" w:eastAsia="Times New Roman" w:hAnsi="Arial" w:cs="Arial"/>
          <w:color w:val="002F2F"/>
          <w:sz w:val="36"/>
          <w:szCs w:val="36"/>
        </w:rPr>
        <w:t xml:space="preserve">The </w:t>
      </w:r>
      <w:proofErr w:type="spellStart"/>
      <w:r w:rsidRPr="00657AFF">
        <w:rPr>
          <w:rFonts w:ascii="Arial" w:eastAsia="Times New Roman" w:hAnsi="Arial" w:cs="Arial"/>
          <w:color w:val="002F2F"/>
          <w:sz w:val="36"/>
          <w:szCs w:val="36"/>
        </w:rPr>
        <w:t>Oorts</w:t>
      </w:r>
      <w:proofErr w:type="spellEnd"/>
      <w:r w:rsidRPr="00657AFF">
        <w:rPr>
          <w:rFonts w:ascii="Arial" w:eastAsia="Times New Roman" w:hAnsi="Arial" w:cs="Arial"/>
          <w:color w:val="002F2F"/>
          <w:sz w:val="36"/>
          <w:szCs w:val="36"/>
        </w:rPr>
        <w:t xml:space="preserve"> constants are local tracers of the Milky Way Kinematics</w:t>
      </w:r>
    </w:p>
    <w:p w14:paraId="48AB5FFF" w14:textId="77777777" w:rsidR="00657AFF" w:rsidRDefault="00657AFF" w:rsidP="00657AFF">
      <w:pPr>
        <w:tabs>
          <w:tab w:val="num" w:pos="720"/>
        </w:tabs>
        <w:spacing w:after="100" w:afterAutospacing="1" w:line="240" w:lineRule="auto"/>
        <w:ind w:left="720" w:hanging="360"/>
      </w:pPr>
    </w:p>
    <w:p w14:paraId="3F6CEF78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The Milky Way (MW) rotates differently, and it has an overall flat rotation curve. </w:t>
      </w:r>
    </w:p>
    <w:p w14:paraId="512BAE5A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Measuring the rotation curve of the Milky Way to high precision is difficult due to our location in the MW and observational constraints.</w:t>
      </w:r>
    </w:p>
    <w:p w14:paraId="13CC91C8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The Oort constants described both motions of stars near out Sun and the slope MW rotation curve at the Sun's distance from the MW center.</w:t>
      </w:r>
    </w:p>
    <w:p w14:paraId="2A016C64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Assuming circular orbits and axisymmetric potential, expanding the velocity field in the solar vicinity shows proper motion in galactic longitude and latitude direction, as well as the </w:t>
      </w:r>
      <w:proofErr w:type="gram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line of sight</w:t>
      </w:r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velocity, have double sinusoidal dependence on the galactic longitude </w:t>
      </w:r>
      <w:r w:rsidRPr="00657AFF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l:</w:t>
      </w:r>
    </w:p>
    <w:p w14:paraId="13A7FDCA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\(v_{los} = </w:t>
      </w:r>
      <w:proofErr w:type="gram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d(</w:t>
      </w:r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>K+C cos 2l+A sin 2l)\\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=(A cos 2l -Csin2l+B)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cosb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+\frac{1}{d}(u_0sinl-v_0cosl)\\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= -(Asin2l+Ccos2l+K)sinb\hspace{0.1cm}cosb+\frac{1}{d}[(u_0cosl+v_0sinl)sinb-w_0cosb]\)where </w:t>
      </w:r>
      <w:r w:rsidRPr="00657AFF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A, B, C, 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>and </w:t>
      </w:r>
      <w:r w:rsidRPr="00657AFF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K 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> are the Oort constants, and they represent the transverse shearing, vorticity, radial streaming, and divergence of the local velocity field.</w:t>
      </w:r>
    </w:p>
    <w:p w14:paraId="2EBFF079" w14:textId="77777777" w:rsidR="00657AFF" w:rsidRPr="00657AFF" w:rsidRDefault="00657AFF" w:rsidP="00657AFF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We studied how to derive the Oort constants from Gaia data and how the observed data are different from a theoretical model.</w:t>
      </w:r>
    </w:p>
    <w:p w14:paraId="4CC88C43" w14:textId="77777777" w:rsidR="00657AFF" w:rsidRDefault="00657AFF" w:rsidP="00657AFF">
      <w:pPr>
        <w:pStyle w:val="Heading2"/>
        <w:rPr>
          <w:rFonts w:ascii="Arial" w:hAnsi="Arial" w:cs="Arial"/>
          <w:b w:val="0"/>
          <w:bCs w:val="0"/>
          <w:color w:val="002F2F"/>
        </w:rPr>
      </w:pPr>
      <w:r>
        <w:rPr>
          <w:rFonts w:ascii="Arial" w:hAnsi="Arial" w:cs="Arial"/>
          <w:b w:val="0"/>
          <w:bCs w:val="0"/>
          <w:color w:val="002F2F"/>
        </w:rPr>
        <w:t>The main sequence stars from Gaia DR2 were divided into 5 color populations and analyzed</w:t>
      </w:r>
    </w:p>
    <w:p w14:paraId="749938BF" w14:textId="77777777" w:rsidR="00657AFF" w:rsidRPr="00657AFF" w:rsidRDefault="00657AFF" w:rsidP="00657A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 </w:t>
      </w:r>
    </w:p>
    <w:p w14:paraId="3522DA98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Different stellar populations have disparate kinematics properties</w:t>
      </w:r>
    </w:p>
    <w:p w14:paraId="1528BF94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 Main sequence stars are divided into five groups based on their color following the criteria outlined in (Li, 2019): \(G_{BP}-G_{RP}-E(BP-</w:t>
      </w:r>
      <w:proofErr w:type="gram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RP)\</w:t>
      </w:r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>)&lt;0.8, 0.8~1.2, 1.2~1.6, 1.6~2.4, &gt;2.4</w:t>
      </w:r>
    </w:p>
    <w:p w14:paraId="574A59BF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Sampling limits: parallax &gt; 2mas (d&lt;500 pc). For 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μ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 </w:t>
      </w:r>
      <w:proofErr w:type="gramStart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and  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v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los</w:t>
      </w:r>
      <w:proofErr w:type="spellEnd"/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>, |b|&lt;20 deg; for 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μ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, 40&lt;|b|&lt;50 deg.</w:t>
      </w:r>
    </w:p>
    <w:p w14:paraId="5A61CB14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The distribution of proper motions and 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v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los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 in the galactic longitude and latitude directions are plotted after correcting the solar peculiar motion with respect to the LSR, (u</w:t>
      </w:r>
      <w:proofErr w:type="gramStart"/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0 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>,</w:t>
      </w:r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v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0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>, w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0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>)</w:t>
      </w:r>
    </w:p>
    <w:p w14:paraId="74B89E2C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We use their binned means to fit the models</w:t>
      </w:r>
    </w:p>
    <w:p w14:paraId="6998EB01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We used the Monte-Carlo-Markov-Chain method to estimate the uncertainties of the model parameters considering the results of 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Δμ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 and 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Δμ</w:t>
      </w:r>
      <w:r w:rsidRPr="00657AFF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 , along with their errors propagated from the observational results, at the same time, where the log-likelihood is defined as:\(-\frac{1}{2}\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sum_i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\Bigg(\frac{(\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lastRenderedPageBreak/>
        <w:t>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-\bar y_{1i)}^2 }{\sigma_{\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}^2+error_{\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}^2}+ln [\sigma_{\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}^2+error_{\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mu_l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rangle_i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}^2 ]\Bigg)-\frac{1}{2}\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sum_j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\Bigg(\frac{(\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-\bar y_{2j})^2 }{\sigma_{\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}^2+error_{\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}^2}+ln [\sigma_{\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}^2+error_{\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langle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\Delta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mu_b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\</w:t>
      </w:r>
      <w:proofErr w:type="spell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rangle_j</w:t>
      </w:r>
      <w:proofErr w:type="spellEnd"/>
      <w:r w:rsidRPr="00657AFF">
        <w:rPr>
          <w:rFonts w:ascii="Arial" w:eastAsia="Times New Roman" w:hAnsi="Arial" w:cs="Arial"/>
          <w:color w:val="375D81"/>
          <w:sz w:val="25"/>
          <w:szCs w:val="25"/>
        </w:rPr>
        <w:t>}^2 ]\Bigg)\)</w:t>
      </w:r>
    </w:p>
    <w:p w14:paraId="2A7C6A4B" w14:textId="77777777" w:rsidR="00657AFF" w:rsidRP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>The reddest two stellar groups are the best tracers to derive the Oort constants. The bluer and younger stars show more deviation from the model.</w:t>
      </w:r>
    </w:p>
    <w:p w14:paraId="02068C6D" w14:textId="03957A61" w:rsidR="00657AFF" w:rsidRDefault="00657AFF" w:rsidP="00657AFF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For the reddest group, we found the Oort constant are: A = 15.3 </w:t>
      </w:r>
      <w:r w:rsidRPr="00657AFF">
        <w:rPr>
          <w:rFonts w:ascii="Cambria Math" w:eastAsia="Times New Roman" w:hAnsi="Cambria Math" w:cs="Cambria Math"/>
          <w:color w:val="375D81"/>
          <w:sz w:val="25"/>
          <w:szCs w:val="25"/>
        </w:rPr>
        <w:t>∓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1.5, B = -12.4 </w:t>
      </w:r>
      <w:r w:rsidRPr="00657AFF">
        <w:rPr>
          <w:rFonts w:ascii="Cambria Math" w:eastAsia="Times New Roman" w:hAnsi="Cambria Math" w:cs="Cambria Math"/>
          <w:color w:val="375D81"/>
          <w:sz w:val="25"/>
          <w:szCs w:val="25"/>
        </w:rPr>
        <w:t>∓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</w:t>
      </w:r>
      <w:proofErr w:type="gramStart"/>
      <w:r w:rsidRPr="00657AFF">
        <w:rPr>
          <w:rFonts w:ascii="Arial" w:eastAsia="Times New Roman" w:hAnsi="Arial" w:cs="Arial"/>
          <w:color w:val="375D81"/>
          <w:sz w:val="25"/>
          <w:szCs w:val="25"/>
        </w:rPr>
        <w:t>1.2,,</w:t>
      </w:r>
      <w:proofErr w:type="gramEnd"/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C = -1.7 </w:t>
      </w:r>
      <w:r w:rsidRPr="00657AFF">
        <w:rPr>
          <w:rFonts w:ascii="Cambria Math" w:eastAsia="Times New Roman" w:hAnsi="Cambria Math" w:cs="Cambria Math"/>
          <w:color w:val="375D81"/>
          <w:sz w:val="25"/>
          <w:szCs w:val="25"/>
        </w:rPr>
        <w:t>∓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1.5 and D = -1.63 </w:t>
      </w:r>
      <w:r w:rsidRPr="00657AFF">
        <w:rPr>
          <w:rFonts w:ascii="Cambria Math" w:eastAsia="Times New Roman" w:hAnsi="Cambria Math" w:cs="Cambria Math"/>
          <w:color w:val="375D81"/>
          <w:sz w:val="25"/>
          <w:szCs w:val="25"/>
        </w:rPr>
        <w:t>∓</w:t>
      </w:r>
      <w:r w:rsidRPr="00657AFF">
        <w:rPr>
          <w:rFonts w:ascii="Arial" w:eastAsia="Times New Roman" w:hAnsi="Arial" w:cs="Arial"/>
          <w:color w:val="375D81"/>
          <w:sz w:val="25"/>
          <w:szCs w:val="25"/>
        </w:rPr>
        <w:t xml:space="preserve"> 1.5. </w:t>
      </w:r>
    </w:p>
    <w:p w14:paraId="297A90A4" w14:textId="77777777" w:rsidR="006C7525" w:rsidRDefault="006C7525" w:rsidP="006C7525">
      <w:pPr>
        <w:pStyle w:val="Heading2"/>
        <w:rPr>
          <w:rFonts w:ascii="Arial" w:hAnsi="Arial" w:cs="Arial"/>
          <w:b w:val="0"/>
          <w:bCs w:val="0"/>
          <w:color w:val="002F2F"/>
        </w:rPr>
      </w:pPr>
      <w:r>
        <w:rPr>
          <w:rFonts w:ascii="Arial" w:hAnsi="Arial" w:cs="Arial"/>
          <w:b w:val="0"/>
          <w:bCs w:val="0"/>
          <w:color w:val="002F2F"/>
        </w:rPr>
        <w:t>The Results shows longitudinal and line of sight velocity have significant deviations from the theoretical model</w:t>
      </w:r>
    </w:p>
    <w:p w14:paraId="18848354" w14:textId="77777777" w:rsidR="006C7525" w:rsidRPr="00657AFF" w:rsidRDefault="006C7525" w:rsidP="006C7525">
      <w:p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</w:p>
    <w:p w14:paraId="1AA590A4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proofErr w:type="spellStart"/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Δμ</w:t>
      </w:r>
      <w:proofErr w:type="gramStart"/>
      <w:r w:rsidRPr="006C7525">
        <w:rPr>
          <w:rFonts w:ascii="inherit" w:eastAsia="Times New Roman" w:hAnsi="inherit" w:cs="Arial"/>
          <w:b/>
          <w:bCs/>
          <w:color w:val="375D81"/>
          <w:sz w:val="18"/>
          <w:szCs w:val="18"/>
          <w:vertAlign w:val="subscript"/>
        </w:rPr>
        <w:t>l</w:t>
      </w:r>
      <w:proofErr w:type="spellEnd"/>
      <w:r w:rsidRPr="006C7525">
        <w:rPr>
          <w:rFonts w:ascii="inherit" w:eastAsia="Times New Roman" w:hAnsi="inherit" w:cs="Arial"/>
          <w:b/>
          <w:bCs/>
          <w:color w:val="375D81"/>
          <w:sz w:val="18"/>
          <w:szCs w:val="18"/>
          <w:vertAlign w:val="subscript"/>
        </w:rPr>
        <w:t> </w:t>
      </w:r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:</w:t>
      </w:r>
      <w:proofErr w:type="gramEnd"/>
    </w:p>
    <w:p w14:paraId="5CAAB240" w14:textId="77777777" w:rsidR="006C7525" w:rsidRPr="006C7525" w:rsidRDefault="006C7525" w:rsidP="006C7525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The samples have over dense regions near 270 and 290 degree and a smaller than expected peak around 180 degree.</w:t>
      </w:r>
    </w:p>
    <w:p w14:paraId="1B8536D1" w14:textId="622FED95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lastRenderedPageBreak/>
        <w:drawing>
          <wp:inline distT="0" distB="0" distL="0" distR="0" wp14:anchorId="5448C37F" wp14:editId="1AD1156E">
            <wp:extent cx="5943600" cy="752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A32D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proofErr w:type="spellStart"/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Δμ</w:t>
      </w:r>
      <w:r w:rsidRPr="006C7525">
        <w:rPr>
          <w:rFonts w:ascii="inherit" w:eastAsia="Times New Roman" w:hAnsi="inherit" w:cs="Arial"/>
          <w:b/>
          <w:bCs/>
          <w:color w:val="375D81"/>
          <w:sz w:val="18"/>
          <w:szCs w:val="18"/>
          <w:vertAlign w:val="subscript"/>
        </w:rPr>
        <w:t>b</w:t>
      </w:r>
      <w:proofErr w:type="spellEnd"/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:</w:t>
      </w:r>
    </w:p>
    <w:p w14:paraId="4144D87A" w14:textId="7CBFB9C1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lastRenderedPageBreak/>
        <w:t>The first three stellar populations show good agreement to the double sine functions. The other groups have fewer samples and more disparity and randomness in the latitudinal proper motion  </w:t>
      </w: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0680C86A" wp14:editId="4411DFB3">
            <wp:extent cx="5943600" cy="689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v</w:t>
      </w:r>
      <w:r w:rsidRPr="006C7525">
        <w:rPr>
          <w:rFonts w:ascii="inherit" w:eastAsia="Times New Roman" w:hAnsi="inherit" w:cs="Arial"/>
          <w:b/>
          <w:bCs/>
          <w:color w:val="375D81"/>
          <w:sz w:val="18"/>
          <w:szCs w:val="18"/>
          <w:vertAlign w:val="subscript"/>
        </w:rPr>
        <w:t>los</w:t>
      </w:r>
      <w:proofErr w:type="spellEnd"/>
      <w:r w:rsidRPr="006C7525">
        <w:rPr>
          <w:rFonts w:ascii="inherit" w:eastAsia="Times New Roman" w:hAnsi="inherit" w:cs="Arial"/>
          <w:b/>
          <w:bCs/>
          <w:color w:val="375D81"/>
          <w:sz w:val="18"/>
          <w:szCs w:val="18"/>
          <w:vertAlign w:val="subscript"/>
        </w:rPr>
        <w:t> </w:t>
      </w:r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:</w:t>
      </w:r>
      <w:proofErr w:type="gramEnd"/>
    </w:p>
    <w:p w14:paraId="0931A614" w14:textId="77777777" w:rsidR="006C7525" w:rsidRPr="006C7525" w:rsidRDefault="006C7525" w:rsidP="006C7525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lastRenderedPageBreak/>
        <w:t xml:space="preserve">Gaia DR2 only provides enough radial </w:t>
      </w:r>
      <w:proofErr w:type="spell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velcoity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for the reddest two stellar groups. </w:t>
      </w:r>
    </w:p>
    <w:p w14:paraId="50BCF401" w14:textId="77777777" w:rsidR="006C7525" w:rsidRPr="006C7525" w:rsidRDefault="006C7525" w:rsidP="006C7525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The </w:t>
      </w:r>
      <w:proofErr w:type="spell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v</w:t>
      </w:r>
      <w:r w:rsidRPr="006C7525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los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> vs l function of the second group shows the sinusoidal function shifts downward from the second peak around 200 deg.</w:t>
      </w:r>
    </w:p>
    <w:p w14:paraId="7BE9A0AD" w14:textId="47E6C14E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159545DB" wp14:editId="311D30D2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16A4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 </w:t>
      </w:r>
    </w:p>
    <w:p w14:paraId="748085E2" w14:textId="77777777" w:rsidR="006C7525" w:rsidRDefault="006C7525" w:rsidP="006C7525">
      <w:pPr>
        <w:pStyle w:val="Heading2"/>
        <w:rPr>
          <w:rFonts w:ascii="Arial" w:hAnsi="Arial" w:cs="Arial"/>
          <w:b w:val="0"/>
          <w:bCs w:val="0"/>
          <w:color w:val="002F2F"/>
        </w:rPr>
      </w:pPr>
      <w:r>
        <w:rPr>
          <w:rFonts w:ascii="Arial" w:hAnsi="Arial" w:cs="Arial"/>
          <w:b w:val="0"/>
          <w:bCs w:val="0"/>
          <w:color w:val="002F2F"/>
        </w:rPr>
        <w:t>A toy model simulation to investigate how proper motion and line of sight velocity behaves under an idealized scenario.</w:t>
      </w:r>
    </w:p>
    <w:p w14:paraId="1AF0266F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Simulation Set-up:</w:t>
      </w:r>
    </w:p>
    <w:p w14:paraId="09FF2527" w14:textId="77777777" w:rsidR="006C7525" w:rsidRPr="006C7525" w:rsidRDefault="006C7525" w:rsidP="006C7525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To determine what sampling criteria, what range of galactic distance and latitude values give the most accurate derivation of the Oort constants </w:t>
      </w:r>
    </w:p>
    <w:p w14:paraId="1C40FED2" w14:textId="77777777" w:rsidR="006C7525" w:rsidRPr="006C7525" w:rsidRDefault="006C7525" w:rsidP="006C7525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Simulated the motions of X0,000 test particles under the MW potential and computed their proper motions and line of sight velocity after 10 </w:t>
      </w:r>
      <w:proofErr w:type="spell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Gyr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when they are approximately in equilibrium.</w:t>
      </w:r>
    </w:p>
    <w:p w14:paraId="047C73DE" w14:textId="77777777" w:rsidR="006C7525" w:rsidRPr="006C7525" w:rsidRDefault="006C7525" w:rsidP="006C7525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The model for MW potential we used is 2014MWPotential from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galpy</w:t>
      </w:r>
      <w:proofErr w:type="spellEnd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.</w:t>
      </w:r>
    </w:p>
    <w:p w14:paraId="3575BA41" w14:textId="77777777" w:rsidR="006C7525" w:rsidRPr="006C7525" w:rsidRDefault="006C7525" w:rsidP="006C7525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Varied the sampling criteria of test particles to examine the trends of</w:t>
      </w:r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v</w:t>
      </w:r>
      <w:r w:rsidRPr="006C7525">
        <w:rPr>
          <w:rFonts w:ascii="inherit" w:eastAsia="Times New Roman" w:hAnsi="inherit" w:cs="Arial"/>
          <w:i/>
          <w:iCs/>
          <w:color w:val="375D81"/>
          <w:sz w:val="18"/>
          <w:szCs w:val="18"/>
          <w:vertAlign w:val="subscript"/>
        </w:rPr>
        <w:t>los</w:t>
      </w:r>
      <w:proofErr w:type="spellEnd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,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μ</w:t>
      </w:r>
      <w:r w:rsidRPr="006C7525">
        <w:rPr>
          <w:rFonts w:ascii="inherit" w:eastAsia="Times New Roman" w:hAnsi="inherit" w:cs="Arial"/>
          <w:i/>
          <w:iCs/>
          <w:color w:val="375D81"/>
          <w:sz w:val="18"/>
          <w:szCs w:val="18"/>
          <w:vertAlign w:val="subscript"/>
        </w:rPr>
        <w:t>l</w:t>
      </w:r>
      <w:proofErr w:type="spellEnd"/>
      <w:r w:rsidRPr="006C7525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 </w:t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and</w:t>
      </w:r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μ</w:t>
      </w:r>
      <w:r w:rsidRPr="006C7525">
        <w:rPr>
          <w:rFonts w:ascii="inherit" w:eastAsia="Times New Roman" w:hAnsi="inherit" w:cs="Arial"/>
          <w:i/>
          <w:iCs/>
          <w:color w:val="375D81"/>
          <w:sz w:val="18"/>
          <w:szCs w:val="18"/>
          <w:vertAlign w:val="subscript"/>
        </w:rPr>
        <w:t>b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> over </w:t>
      </w:r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l</w:t>
      </w:r>
    </w:p>
    <w:p w14:paraId="007728B5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 </w:t>
      </w:r>
    </w:p>
    <w:p w14:paraId="76615A1A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inherit" w:eastAsia="Times New Roman" w:hAnsi="inherit" w:cs="Arial"/>
          <w:b/>
          <w:bCs/>
          <w:color w:val="375D81"/>
          <w:sz w:val="25"/>
          <w:szCs w:val="25"/>
        </w:rPr>
        <w:t>Results</w:t>
      </w:r>
    </w:p>
    <w:p w14:paraId="0FCA9A0D" w14:textId="4393C945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lastRenderedPageBreak/>
        <w:t xml:space="preserve">1.The </w:t>
      </w:r>
      <w:proofErr w:type="gram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line of sight</w:t>
      </w:r>
      <w:proofErr w:type="gram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velocity and longitudinal proper motions of stars within 2kpc from the Sun and with |b|&lt;20 deg are well described by the Oort constants double sinusoidal models. </w:t>
      </w: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132E467D" wp14:editId="02C46643">
            <wp:extent cx="4114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9473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a) Spatial distribution of the test particles with &lt;2kpc</w:t>
      </w:r>
    </w:p>
    <w:p w14:paraId="7B3FF4AA" w14:textId="718DD849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7152D1F2" wp14:editId="169BC97F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0562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b) The function of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v</w:t>
      </w:r>
      <w:r w:rsidRPr="006C7525">
        <w:rPr>
          <w:rFonts w:ascii="inherit" w:eastAsia="Times New Roman" w:hAnsi="inherit" w:cs="Arial"/>
          <w:i/>
          <w:iCs/>
          <w:color w:val="375D81"/>
          <w:sz w:val="18"/>
          <w:szCs w:val="18"/>
          <w:vertAlign w:val="subscript"/>
        </w:rPr>
        <w:t>los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> / d vs </w:t>
      </w:r>
      <w:proofErr w:type="gram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l </w:t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 for</w:t>
      </w:r>
      <w:proofErr w:type="gram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stars with d&lt;2kpc and |b|&lt;20 deg </w:t>
      </w:r>
    </w:p>
    <w:p w14:paraId="32CD6289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The </w:t>
      </w:r>
      <w:proofErr w:type="gram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line of sight</w:t>
      </w:r>
      <w:proofErr w:type="gram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velocity shows larger dispersion.</w:t>
      </w:r>
    </w:p>
    <w:p w14:paraId="0C49E4C2" w14:textId="54677ACD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lastRenderedPageBreak/>
        <w:drawing>
          <wp:inline distT="0" distB="0" distL="0" distR="0" wp14:anchorId="114D1505" wp14:editId="4F6AEF34">
            <wp:extent cx="4114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A8CB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c) The function of </w:t>
      </w:r>
      <w:proofErr w:type="spell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v</w:t>
      </w:r>
      <w:r w:rsidRPr="006C7525">
        <w:rPr>
          <w:rFonts w:ascii="inherit" w:eastAsia="Times New Roman" w:hAnsi="inherit" w:cs="Arial"/>
          <w:i/>
          <w:iCs/>
          <w:color w:val="375D81"/>
          <w:sz w:val="18"/>
          <w:szCs w:val="18"/>
          <w:vertAlign w:val="subscript"/>
        </w:rPr>
        <w:t>los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> / d vs </w:t>
      </w:r>
      <w:proofErr w:type="gramStart"/>
      <w:r w:rsidRPr="006C7525">
        <w:rPr>
          <w:rFonts w:ascii="inherit" w:eastAsia="Times New Roman" w:hAnsi="inherit" w:cs="Arial"/>
          <w:i/>
          <w:iCs/>
          <w:color w:val="375D81"/>
          <w:sz w:val="25"/>
          <w:szCs w:val="25"/>
        </w:rPr>
        <w:t>l </w:t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 for</w:t>
      </w:r>
      <w:proofErr w:type="gramEnd"/>
      <w:r w:rsidRPr="006C7525">
        <w:rPr>
          <w:rFonts w:ascii="Arial" w:eastAsia="Times New Roman" w:hAnsi="Arial" w:cs="Arial"/>
          <w:color w:val="375D81"/>
          <w:sz w:val="25"/>
          <w:szCs w:val="25"/>
        </w:rPr>
        <w:t xml:space="preserve"> stars with d&lt;2kpc and |b|&lt;20 deg</w:t>
      </w:r>
    </w:p>
    <w:p w14:paraId="7E2D1DB4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2. The proper motion in the latitude direction follows the double sinusoidal model for stars with |b| &lt; XX deg. </w:t>
      </w:r>
      <w:proofErr w:type="spellStart"/>
      <w:r w:rsidRPr="006C7525">
        <w:rPr>
          <w:rFonts w:ascii="Arial" w:eastAsia="Times New Roman" w:hAnsi="Arial" w:cs="Arial"/>
          <w:color w:val="375D81"/>
          <w:sz w:val="25"/>
          <w:szCs w:val="25"/>
        </w:rPr>
        <w:t>μ</w:t>
      </w:r>
      <w:r w:rsidRPr="006C7525">
        <w:rPr>
          <w:rFonts w:ascii="Arial" w:eastAsia="Times New Roman" w:hAnsi="Arial" w:cs="Arial"/>
          <w:color w:val="375D81"/>
          <w:sz w:val="18"/>
          <w:szCs w:val="18"/>
          <w:vertAlign w:val="subscript"/>
        </w:rPr>
        <w:t>b</w:t>
      </w:r>
      <w:proofErr w:type="spellEnd"/>
      <w:r w:rsidRPr="006C7525">
        <w:rPr>
          <w:rFonts w:ascii="Arial" w:eastAsia="Times New Roman" w:hAnsi="Arial" w:cs="Arial"/>
          <w:color w:val="375D81"/>
          <w:sz w:val="25"/>
          <w:szCs w:val="25"/>
        </w:rPr>
        <w:t> shows larger dispersion.</w:t>
      </w:r>
    </w:p>
    <w:p w14:paraId="23D977CE" w14:textId="5A24DFA5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552C2E11" wp14:editId="720F906F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E596" w14:textId="77777777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 </w:t>
      </w:r>
    </w:p>
    <w:p w14:paraId="2E1694EC" w14:textId="77777777" w:rsidR="006C7525" w:rsidRDefault="006C7525" w:rsidP="006C7525">
      <w:pPr>
        <w:pStyle w:val="Heading2"/>
        <w:rPr>
          <w:rFonts w:ascii="Arial" w:hAnsi="Arial" w:cs="Arial"/>
          <w:b w:val="0"/>
          <w:bCs w:val="0"/>
          <w:color w:val="002F2F"/>
        </w:rPr>
      </w:pPr>
      <w:r>
        <w:rPr>
          <w:rFonts w:ascii="Arial" w:hAnsi="Arial" w:cs="Arial"/>
          <w:b w:val="0"/>
          <w:bCs w:val="0"/>
          <w:color w:val="002F2F"/>
        </w:rPr>
        <w:t>The Gaia space telescope</w:t>
      </w:r>
    </w:p>
    <w:p w14:paraId="598F0F93" w14:textId="77777777" w:rsidR="006C7525" w:rsidRPr="006C7525" w:rsidRDefault="006C7525" w:rsidP="006C7525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Gaia space telescope measures the parallax, proper motion, and radial velocity of stars with unprecedented accuracy and multitude.</w:t>
      </w:r>
    </w:p>
    <w:p w14:paraId="60556A1E" w14:textId="77777777" w:rsidR="006C7525" w:rsidRPr="006C7525" w:rsidRDefault="006C7525" w:rsidP="006C7525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lastRenderedPageBreak/>
        <w:t>We used over 6 million Main Sequence Star near the Sun from </w:t>
      </w:r>
      <w:r w:rsidRPr="006C7525">
        <w:rPr>
          <w:rFonts w:ascii="inherit" w:eastAsia="Times New Roman" w:hAnsi="inherit" w:cs="Arial"/>
          <w:b/>
          <w:bCs/>
          <w:i/>
          <w:iCs/>
          <w:color w:val="375D81"/>
          <w:sz w:val="25"/>
          <w:szCs w:val="25"/>
        </w:rPr>
        <w:t>Gaia DR2 </w:t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which holds the measurements of over 1.6 billion stars.</w:t>
      </w:r>
    </w:p>
    <w:p w14:paraId="47D4FA6F" w14:textId="77777777" w:rsidR="006C7525" w:rsidRPr="006C7525" w:rsidRDefault="006C7525" w:rsidP="006C7525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We look forward to using the newly released </w:t>
      </w:r>
      <w:r w:rsidRPr="006C7525">
        <w:rPr>
          <w:rFonts w:ascii="inherit" w:eastAsia="Times New Roman" w:hAnsi="inherit" w:cs="Arial"/>
          <w:b/>
          <w:bCs/>
          <w:i/>
          <w:iCs/>
          <w:color w:val="375D81"/>
          <w:sz w:val="25"/>
          <w:szCs w:val="25"/>
        </w:rPr>
        <w:t>Gaia EDR3</w:t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 data to derive the Oort constants.</w:t>
      </w:r>
    </w:p>
    <w:p w14:paraId="50983FA0" w14:textId="2F16DFEE" w:rsidR="006C7525" w:rsidRPr="006C7525" w:rsidRDefault="006C7525" w:rsidP="006C75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noProof/>
          <w:color w:val="375D81"/>
          <w:sz w:val="25"/>
          <w:szCs w:val="25"/>
        </w:rPr>
        <w:drawing>
          <wp:inline distT="0" distB="0" distL="0" distR="0" wp14:anchorId="7DEF1F42" wp14:editId="787EAF45">
            <wp:extent cx="5943600" cy="3943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525">
        <w:rPr>
          <w:rFonts w:ascii="Arial" w:eastAsia="Times New Roman" w:hAnsi="Arial" w:cs="Arial"/>
          <w:color w:val="375D81"/>
          <w:sz w:val="25"/>
          <w:szCs w:val="25"/>
        </w:rPr>
        <w:t>An artist's concept of the Gaia spacecraft. Credit: ESA.</w:t>
      </w:r>
    </w:p>
    <w:p w14:paraId="1A8E79E1" w14:textId="335589F2" w:rsidR="006C7525" w:rsidRPr="006C7525" w:rsidRDefault="006C7525" w:rsidP="006C7525">
      <w:pPr>
        <w:pStyle w:val="Heading2"/>
        <w:rPr>
          <w:rFonts w:ascii="Arial" w:hAnsi="Arial" w:cs="Arial"/>
          <w:b w:val="0"/>
          <w:bCs w:val="0"/>
          <w:color w:val="002F2F"/>
        </w:rPr>
      </w:pPr>
      <w:r>
        <w:rPr>
          <w:rFonts w:ascii="Arial" w:hAnsi="Arial" w:cs="Arial"/>
          <w:b w:val="0"/>
          <w:bCs w:val="0"/>
          <w:color w:val="002F2F"/>
        </w:rPr>
        <w:t>Summary</w:t>
      </w:r>
    </w:p>
    <w:p w14:paraId="7C11CCDF" w14:textId="65FF9F48" w:rsidR="006C7525" w:rsidRPr="006C7525" w:rsidRDefault="006C7525" w:rsidP="006C752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Gaia provides a large data catalog of proper motions and radial velocity to derive the Oort constants near the Sun.</w:t>
      </w:r>
    </w:p>
    <w:p w14:paraId="51ED711C" w14:textId="77777777" w:rsidR="006C7525" w:rsidRPr="006C7525" w:rsidRDefault="006C7525" w:rsidP="006C752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Different stellar populations show significant differences in their kinematics and how they follow/deviate from the Oort constants model.</w:t>
      </w:r>
    </w:p>
    <w:p w14:paraId="1D1920CE" w14:textId="77777777" w:rsidR="006C7525" w:rsidRPr="006C7525" w:rsidRDefault="006C7525" w:rsidP="006C752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The function of longitudinal proper motions over the galactic longitude has a lower peak than the expected double sinusoidal function. This deviation is not due to the single sine contribution from the sun's peculiar motion</w:t>
      </w:r>
    </w:p>
    <w:p w14:paraId="680C4C4F" w14:textId="77777777" w:rsidR="006C7525" w:rsidRPr="006C7525" w:rsidRDefault="006C7525" w:rsidP="006C752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25"/>
          <w:szCs w:val="25"/>
        </w:rPr>
        <w:t>Our toy model shows that for stars within 2kpc from the sun, their motions with respect to the sun follows the function described by the Oort constants.</w:t>
      </w:r>
    </w:p>
    <w:p w14:paraId="3AD86BDC" w14:textId="77777777" w:rsidR="006C7525" w:rsidRPr="006C7525" w:rsidRDefault="006C7525" w:rsidP="006C752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5D81"/>
          <w:sz w:val="25"/>
          <w:szCs w:val="25"/>
        </w:rPr>
      </w:pPr>
      <w:r w:rsidRPr="006C7525">
        <w:rPr>
          <w:rFonts w:ascii="Arial" w:eastAsia="Times New Roman" w:hAnsi="Arial" w:cs="Arial"/>
          <w:color w:val="375D81"/>
          <w:sz w:val="17"/>
          <w:szCs w:val="17"/>
        </w:rPr>
        <w:t xml:space="preserve">Even under the circular orbit and </w:t>
      </w:r>
      <w:proofErr w:type="spellStart"/>
      <w:r w:rsidRPr="006C7525">
        <w:rPr>
          <w:rFonts w:ascii="Arial" w:eastAsia="Times New Roman" w:hAnsi="Arial" w:cs="Arial"/>
          <w:color w:val="375D81"/>
          <w:sz w:val="17"/>
          <w:szCs w:val="17"/>
        </w:rPr>
        <w:t>axisymmetiric</w:t>
      </w:r>
      <w:proofErr w:type="spellEnd"/>
      <w:r w:rsidRPr="006C7525">
        <w:rPr>
          <w:rFonts w:ascii="Arial" w:eastAsia="Times New Roman" w:hAnsi="Arial" w:cs="Arial"/>
          <w:color w:val="375D81"/>
          <w:sz w:val="17"/>
          <w:szCs w:val="17"/>
        </w:rPr>
        <w:t xml:space="preserve"> potential, the </w:t>
      </w:r>
      <w:proofErr w:type="gramStart"/>
      <w:r w:rsidRPr="006C7525">
        <w:rPr>
          <w:rFonts w:ascii="Arial" w:eastAsia="Times New Roman" w:hAnsi="Arial" w:cs="Arial"/>
          <w:color w:val="375D81"/>
          <w:sz w:val="17"/>
          <w:szCs w:val="17"/>
        </w:rPr>
        <w:t>line of sight</w:t>
      </w:r>
      <w:proofErr w:type="gramEnd"/>
      <w:r w:rsidRPr="006C7525">
        <w:rPr>
          <w:rFonts w:ascii="Arial" w:eastAsia="Times New Roman" w:hAnsi="Arial" w:cs="Arial"/>
          <w:color w:val="375D81"/>
          <w:sz w:val="17"/>
          <w:szCs w:val="17"/>
        </w:rPr>
        <w:t xml:space="preserve"> velocity and proper motion in the latitudinal direction have larger dispersion than the longitudinal proper motion. </w:t>
      </w:r>
    </w:p>
    <w:p w14:paraId="0F0C9F68" w14:textId="3DC5ECAC" w:rsidR="00B02354" w:rsidRDefault="00B02354"/>
    <w:p w14:paraId="6D155235" w14:textId="77777777" w:rsidR="006C7525" w:rsidRDefault="006C7525"/>
    <w:sectPr w:rsidR="006C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328D"/>
    <w:multiLevelType w:val="multilevel"/>
    <w:tmpl w:val="1C6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C5D"/>
    <w:multiLevelType w:val="multilevel"/>
    <w:tmpl w:val="A81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944EA"/>
    <w:multiLevelType w:val="multilevel"/>
    <w:tmpl w:val="24D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545A0"/>
    <w:multiLevelType w:val="multilevel"/>
    <w:tmpl w:val="970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20E7D"/>
    <w:multiLevelType w:val="multilevel"/>
    <w:tmpl w:val="F03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D4D1F"/>
    <w:multiLevelType w:val="multilevel"/>
    <w:tmpl w:val="BA9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90295"/>
    <w:multiLevelType w:val="multilevel"/>
    <w:tmpl w:val="5A8E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FF"/>
    <w:rsid w:val="00086EBB"/>
    <w:rsid w:val="001C7C1A"/>
    <w:rsid w:val="005D736E"/>
    <w:rsid w:val="00657AFF"/>
    <w:rsid w:val="006C7525"/>
    <w:rsid w:val="007C4980"/>
    <w:rsid w:val="00B0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C91C"/>
  <w15:chartTrackingRefBased/>
  <w15:docId w15:val="{AC285F83-13AC-48E6-B1E8-4E3A56A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7AFF"/>
    <w:rPr>
      <w:i/>
      <w:iCs/>
    </w:rPr>
  </w:style>
  <w:style w:type="character" w:customStyle="1" w:styleId="math-tex">
    <w:name w:val="math-tex"/>
    <w:basedOn w:val="DefaultParagraphFont"/>
    <w:rsid w:val="00657AFF"/>
  </w:style>
  <w:style w:type="character" w:customStyle="1" w:styleId="Heading2Char">
    <w:name w:val="Heading 2 Char"/>
    <w:basedOn w:val="DefaultParagraphFont"/>
    <w:link w:val="Heading2"/>
    <w:uiPriority w:val="9"/>
    <w:rsid w:val="00657A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7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Shufan</dc:creator>
  <cp:keywords/>
  <dc:description/>
  <cp:lastModifiedBy>Xia Shufan</cp:lastModifiedBy>
  <cp:revision>1</cp:revision>
  <dcterms:created xsi:type="dcterms:W3CDTF">2021-01-08T21:04:00Z</dcterms:created>
  <dcterms:modified xsi:type="dcterms:W3CDTF">2021-01-08T21:29:00Z</dcterms:modified>
</cp:coreProperties>
</file>