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45F30">
      <w:pPr>
        <w:widowControl/>
        <w:spacing w:after="100" w:afterAutospacing="1"/>
        <w:jc w:val="left"/>
        <w:outlineLvl w:val="1"/>
        <w:rPr>
          <w:rFonts w:ascii="宋体" w:hAnsi="宋体" w:eastAsia="宋体" w:cs="宋体"/>
          <w:b/>
          <w:bCs/>
          <w:kern w:val="36"/>
          <w:sz w:val="48"/>
          <w:szCs w:val="48"/>
        </w:rPr>
      </w:pPr>
      <w:r>
        <w:rPr>
          <w:rFonts w:ascii="宋体" w:hAnsi="宋体" w:eastAsia="宋体" w:cs="宋体"/>
          <w:b/>
          <w:bCs/>
          <w:kern w:val="36"/>
          <w:sz w:val="48"/>
          <w:szCs w:val="48"/>
        </w:rPr>
        <w:t>Shi Family Grand Courtyard</w:t>
      </w:r>
    </w:p>
    <w:p w14:paraId="326ABEEB">
      <w:pPr>
        <w:widowControl/>
        <w:jc w:val="left"/>
        <w:rPr>
          <w:rFonts w:ascii="宋体" w:hAnsi="宋体" w:eastAsia="宋体" w:cs="宋体"/>
          <w:kern w:val="0"/>
          <w:sz w:val="24"/>
          <w:szCs w:val="24"/>
        </w:rPr>
      </w:pPr>
      <w:r>
        <w:rPr>
          <w:rFonts w:ascii="宋体" w:hAnsi="宋体" w:eastAsia="宋体" w:cs="宋体"/>
          <w:kern w:val="0"/>
          <w:sz w:val="24"/>
          <w:szCs w:val="24"/>
        </w:rPr>
        <w:t xml:space="preserve">Jump to: </w:t>
      </w:r>
      <w:r>
        <w:fldChar w:fldCharType="begin"/>
      </w:r>
      <w:r>
        <w:instrText xml:space="preserve"> HYPERLINK "http://en.wikipedia.org/wiki/Shi_Family_Grand_Courtyard" \l "mw-navigation" </w:instrText>
      </w:r>
      <w:r>
        <w:fldChar w:fldCharType="separate"/>
      </w:r>
      <w:r>
        <w:rPr>
          <w:rFonts w:ascii="宋体" w:hAnsi="宋体" w:eastAsia="宋体" w:cs="宋体"/>
          <w:color w:val="0000FF"/>
          <w:kern w:val="0"/>
          <w:sz w:val="24"/>
          <w:szCs w:val="24"/>
          <w:u w:val="single"/>
        </w:rPr>
        <w:t>navigation</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xml:space="preserve">, </w:t>
      </w:r>
      <w:r>
        <w:fldChar w:fldCharType="begin"/>
      </w:r>
      <w:r>
        <w:instrText xml:space="preserve"> HYPERLINK "http://en.wikipedia.org/wiki/Shi_Family_Grand_Courtyard" \l "p-search" </w:instrText>
      </w:r>
      <w:r>
        <w:fldChar w:fldCharType="separate"/>
      </w:r>
      <w:r>
        <w:rPr>
          <w:rFonts w:ascii="宋体" w:hAnsi="宋体" w:eastAsia="宋体" w:cs="宋体"/>
          <w:color w:val="0000FF"/>
          <w:kern w:val="0"/>
          <w:sz w:val="24"/>
          <w:szCs w:val="24"/>
          <w:u w:val="single"/>
        </w:rPr>
        <w:t>search</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xml:space="preserve"> </w:t>
      </w:r>
    </w:p>
    <w:tbl>
      <w:tblPr>
        <w:tblStyle w:val="6"/>
        <w:tblW w:w="0" w:type="auto"/>
        <w:tblCellSpacing w:w="15" w:type="dxa"/>
        <w:tblInd w:w="0" w:type="dxa"/>
        <w:tblLayout w:type="autofit"/>
        <w:tblCellMar>
          <w:top w:w="15" w:type="dxa"/>
          <w:left w:w="15" w:type="dxa"/>
          <w:bottom w:w="15" w:type="dxa"/>
          <w:right w:w="15" w:type="dxa"/>
        </w:tblCellMar>
      </w:tblPr>
      <w:tblGrid>
        <w:gridCol w:w="1042"/>
        <w:gridCol w:w="7756"/>
      </w:tblGrid>
      <w:tr w14:paraId="597E4F11">
        <w:tblPrEx>
          <w:tblCellMar>
            <w:top w:w="15" w:type="dxa"/>
            <w:left w:w="15" w:type="dxa"/>
            <w:bottom w:w="15" w:type="dxa"/>
            <w:right w:w="15" w:type="dxa"/>
          </w:tblCellMar>
        </w:tblPrEx>
        <w:trPr>
          <w:tblCellSpacing w:w="15" w:type="dxa"/>
        </w:trPr>
        <w:tc>
          <w:tcPr>
            <w:tcW w:w="0" w:type="auto"/>
            <w:tcBorders>
              <w:top w:val="nil"/>
              <w:left w:val="nil"/>
              <w:bottom w:val="nil"/>
              <w:right w:val="nil"/>
            </w:tcBorders>
            <w:tcMar>
              <w:top w:w="25" w:type="dxa"/>
              <w:left w:w="216" w:type="dxa"/>
              <w:bottom w:w="25" w:type="dxa"/>
              <w:right w:w="0" w:type="dxa"/>
            </w:tcMar>
            <w:vAlign w:val="center"/>
          </w:tcPr>
          <w:p w14:paraId="21F75816">
            <w:pPr>
              <w:widowControl/>
              <w:jc w:val="center"/>
              <w:rPr>
                <w:rFonts w:ascii="宋体" w:hAnsi="宋体" w:eastAsia="宋体" w:cs="宋体"/>
                <w:kern w:val="0"/>
                <w:sz w:val="24"/>
                <w:szCs w:val="24"/>
              </w:rPr>
            </w:pPr>
            <w:r>
              <w:rPr>
                <w:rFonts w:ascii="宋体" w:hAnsi="宋体" w:eastAsia="宋体" w:cs="宋体"/>
                <w:color w:val="0000FF"/>
                <w:kern w:val="0"/>
                <w:sz w:val="24"/>
                <w:szCs w:val="24"/>
              </w:rPr>
              <w:drawing>
                <wp:inline distT="0" distB="0" distL="0" distR="0">
                  <wp:extent cx="476885" cy="374015"/>
                  <wp:effectExtent l="19050" t="0" r="0" b="0"/>
                  <wp:docPr id="1" name="图片 1" descr="Question book-new.sv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uestion book-new.svg"/>
                          <pic:cNvPicPr>
                            <a:picLocks noChangeAspect="1" noChangeArrowheads="1"/>
                          </pic:cNvPicPr>
                        </pic:nvPicPr>
                        <pic:blipFill>
                          <a:blip r:embed="rId5"/>
                          <a:srcRect/>
                          <a:stretch>
                            <a:fillRect/>
                          </a:stretch>
                        </pic:blipFill>
                        <pic:spPr>
                          <a:xfrm>
                            <a:off x="0" y="0"/>
                            <a:ext cx="476885" cy="374015"/>
                          </a:xfrm>
                          <a:prstGeom prst="rect">
                            <a:avLst/>
                          </a:prstGeom>
                          <a:noFill/>
                          <a:ln w="9525">
                            <a:noFill/>
                            <a:miter lim="800000"/>
                            <a:headEnd/>
                            <a:tailEnd/>
                          </a:ln>
                        </pic:spPr>
                      </pic:pic>
                    </a:graphicData>
                  </a:graphic>
                </wp:inline>
              </w:drawing>
            </w:r>
          </w:p>
        </w:tc>
        <w:tc>
          <w:tcPr>
            <w:tcW w:w="5000" w:type="pct"/>
            <w:tcBorders>
              <w:top w:val="nil"/>
              <w:left w:val="nil"/>
              <w:bottom w:val="nil"/>
              <w:right w:val="nil"/>
            </w:tcBorders>
            <w:tcMar>
              <w:top w:w="60" w:type="dxa"/>
              <w:left w:w="216" w:type="dxa"/>
              <w:bottom w:w="60" w:type="dxa"/>
              <w:right w:w="216" w:type="dxa"/>
            </w:tcMar>
            <w:vAlign w:val="center"/>
          </w:tcPr>
          <w:p w14:paraId="15BDF1EF">
            <w:pPr>
              <w:widowControl/>
              <w:jc w:val="left"/>
              <w:rPr>
                <w:rFonts w:ascii="宋体" w:hAnsi="宋体" w:eastAsia="宋体" w:cs="宋体"/>
                <w:kern w:val="0"/>
                <w:sz w:val="24"/>
                <w:szCs w:val="24"/>
              </w:rPr>
            </w:pPr>
            <w:r>
              <w:rPr>
                <w:rFonts w:ascii="宋体" w:hAnsi="宋体" w:eastAsia="宋体" w:cs="宋体"/>
                <w:kern w:val="0"/>
                <w:sz w:val="24"/>
                <w:szCs w:val="24"/>
              </w:rPr>
              <w:t xml:space="preserve">This article </w:t>
            </w:r>
            <w:r>
              <w:rPr>
                <w:rFonts w:ascii="宋体" w:hAnsi="宋体" w:eastAsia="宋体" w:cs="宋体"/>
                <w:b/>
                <w:bCs/>
                <w:kern w:val="0"/>
                <w:sz w:val="24"/>
                <w:szCs w:val="24"/>
              </w:rPr>
              <w:t xml:space="preserve">does not </w:t>
            </w:r>
            <w:r>
              <w:fldChar w:fldCharType="begin"/>
            </w:r>
            <w:r>
              <w:instrText xml:space="preserve"> HYPERLINK "http://en.wikipedia.org/wiki/Wikipedia:Citing_sources" \o "Wikipedia:Citing sources" </w:instrText>
            </w:r>
            <w:r>
              <w:fldChar w:fldCharType="separate"/>
            </w:r>
            <w:r>
              <w:rPr>
                <w:rFonts w:ascii="宋体" w:hAnsi="宋体" w:eastAsia="宋体" w:cs="宋体"/>
                <w:b/>
                <w:bCs/>
                <w:color w:val="0000FF"/>
                <w:kern w:val="0"/>
                <w:sz w:val="24"/>
                <w:szCs w:val="24"/>
                <w:u w:val="single"/>
              </w:rPr>
              <w:t>cite</w:t>
            </w:r>
            <w:r>
              <w:rPr>
                <w:rFonts w:ascii="宋体" w:hAnsi="宋体" w:eastAsia="宋体" w:cs="宋体"/>
                <w:b/>
                <w:bCs/>
                <w:color w:val="0000FF"/>
                <w:kern w:val="0"/>
                <w:sz w:val="24"/>
                <w:szCs w:val="24"/>
                <w:u w:val="single"/>
              </w:rPr>
              <w:fldChar w:fldCharType="end"/>
            </w:r>
            <w:r>
              <w:rPr>
                <w:rFonts w:ascii="宋体" w:hAnsi="宋体" w:eastAsia="宋体" w:cs="宋体"/>
                <w:b/>
                <w:bCs/>
                <w:kern w:val="0"/>
                <w:sz w:val="24"/>
                <w:szCs w:val="24"/>
              </w:rPr>
              <w:t xml:space="preserve"> any </w:t>
            </w:r>
            <w:r>
              <w:fldChar w:fldCharType="begin"/>
            </w:r>
            <w:r>
              <w:instrText xml:space="preserve"> HYPERLINK "http://en.wikipedia.org/wiki/Wikipedia:Verifiability" \o "Wikipedia:Verifiability" </w:instrText>
            </w:r>
            <w:r>
              <w:fldChar w:fldCharType="separate"/>
            </w:r>
            <w:r>
              <w:rPr>
                <w:rFonts w:ascii="宋体" w:hAnsi="宋体" w:eastAsia="宋体" w:cs="宋体"/>
                <w:b/>
                <w:bCs/>
                <w:color w:val="0000FF"/>
                <w:kern w:val="0"/>
                <w:sz w:val="24"/>
                <w:szCs w:val="24"/>
                <w:u w:val="single"/>
              </w:rPr>
              <w:t>references or sources</w:t>
            </w:r>
            <w:r>
              <w:rPr>
                <w:rFonts w:ascii="宋体" w:hAnsi="宋体" w:eastAsia="宋体" w:cs="宋体"/>
                <w:b/>
                <w:bCs/>
                <w:color w:val="0000FF"/>
                <w:kern w:val="0"/>
                <w:sz w:val="24"/>
                <w:szCs w:val="24"/>
                <w:u w:val="single"/>
              </w:rPr>
              <w:fldChar w:fldCharType="end"/>
            </w:r>
            <w:r>
              <w:rPr>
                <w:rFonts w:ascii="宋体" w:hAnsi="宋体" w:eastAsia="宋体" w:cs="宋体"/>
                <w:kern w:val="0"/>
                <w:sz w:val="24"/>
                <w:szCs w:val="24"/>
              </w:rPr>
              <w:t xml:space="preserve">. Please help </w:t>
            </w:r>
            <w:r>
              <w:fldChar w:fldCharType="begin"/>
            </w:r>
            <w:r>
              <w:instrText xml:space="preserve"> HYPERLINK "http://en.wikipedia.org/w/index.php?title=Shi_Family_Grand_Courtyard&amp;action=edit" </w:instrText>
            </w:r>
            <w:r>
              <w:fldChar w:fldCharType="separate"/>
            </w:r>
            <w:r>
              <w:rPr>
                <w:rFonts w:ascii="宋体" w:hAnsi="宋体" w:eastAsia="宋体" w:cs="宋体"/>
                <w:color w:val="0000FF"/>
                <w:kern w:val="0"/>
                <w:sz w:val="24"/>
                <w:szCs w:val="24"/>
                <w:u w:val="single"/>
              </w:rPr>
              <w:t>improve this article</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xml:space="preserve"> by </w:t>
            </w:r>
            <w:r>
              <w:fldChar w:fldCharType="begin"/>
            </w:r>
            <w:r>
              <w:instrText xml:space="preserve"> HYPERLINK "http://en.wikipedia.org/wiki/Help:Introduction_to_referencing/1" \o "Help:Introduction to referencing/1" </w:instrText>
            </w:r>
            <w:r>
              <w:fldChar w:fldCharType="separate"/>
            </w:r>
            <w:r>
              <w:rPr>
                <w:rFonts w:ascii="宋体" w:hAnsi="宋体" w:eastAsia="宋体" w:cs="宋体"/>
                <w:color w:val="0000FF"/>
                <w:kern w:val="0"/>
                <w:sz w:val="24"/>
                <w:szCs w:val="24"/>
                <w:u w:val="single"/>
              </w:rPr>
              <w:t>adding citations to reliable sources</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xml:space="preserve">. Unsourced material may be challenged and </w:t>
            </w:r>
            <w:r>
              <w:fldChar w:fldCharType="begin"/>
            </w:r>
            <w:r>
              <w:instrText xml:space="preserve"> HYPERLINK "http://en.wikipedia.org/wiki/Wikipedia:Verifiability" \l "Burden_of_evidence" \o "Wikipedia:Verifiability" </w:instrText>
            </w:r>
            <w:r>
              <w:fldChar w:fldCharType="separate"/>
            </w:r>
            <w:r>
              <w:rPr>
                <w:rFonts w:ascii="宋体" w:hAnsi="宋体" w:eastAsia="宋体" w:cs="宋体"/>
                <w:color w:val="0000FF"/>
                <w:kern w:val="0"/>
                <w:sz w:val="24"/>
                <w:szCs w:val="24"/>
                <w:u w:val="single"/>
              </w:rPr>
              <w:t>removed</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xml:space="preserve">. </w:t>
            </w:r>
            <w:r>
              <w:rPr>
                <w:rFonts w:ascii="宋体" w:hAnsi="宋体" w:eastAsia="宋体" w:cs="宋体"/>
                <w:i/>
                <w:iCs/>
                <w:kern w:val="0"/>
                <w:sz w:val="20"/>
              </w:rPr>
              <w:t>(September 2012)</w:t>
            </w:r>
          </w:p>
        </w:tc>
      </w:tr>
    </w:tbl>
    <w:p w14:paraId="4AA51FED">
      <w:pPr>
        <w:widowControl/>
        <w:jc w:val="left"/>
        <w:rPr>
          <w:rFonts w:ascii="宋体" w:hAnsi="宋体" w:eastAsia="宋体" w:cs="宋体"/>
          <w:kern w:val="0"/>
          <w:sz w:val="24"/>
          <w:szCs w:val="24"/>
        </w:rPr>
      </w:pPr>
      <w:r>
        <w:rPr>
          <w:rFonts w:ascii="宋体" w:hAnsi="宋体" w:eastAsia="宋体" w:cs="宋体"/>
          <w:color w:val="0000FF"/>
          <w:kern w:val="0"/>
          <w:sz w:val="24"/>
          <w:szCs w:val="24"/>
        </w:rPr>
        <w:drawing>
          <wp:anchor distT="0" distB="0" distL="114300" distR="114300" simplePos="0" relativeHeight="251659264" behindDoc="0" locked="0" layoutInCell="1" allowOverlap="1">
            <wp:simplePos x="0" y="0"/>
            <wp:positionH relativeFrom="column">
              <wp:posOffset>20955</wp:posOffset>
            </wp:positionH>
            <wp:positionV relativeFrom="paragraph">
              <wp:posOffset>13970</wp:posOffset>
            </wp:positionV>
            <wp:extent cx="2096135" cy="2751455"/>
            <wp:effectExtent l="19050" t="0" r="0" b="0"/>
            <wp:wrapSquare wrapText="bothSides"/>
            <wp:docPr id="2" name="图片 2" descr="http://upload.wikimedia.org/wikipedia/commons/thumb/9/92/Shiyuan_tianjin_doorways.jpg/220px-Shiyuan_tianjin_doorways.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upload.wikimedia.org/wikipedia/commons/thumb/9/92/Shiyuan_tianjin_doorways.jpg/220px-Shiyuan_tianjin_doorways.jpg"/>
                    <pic:cNvPicPr>
                      <a:picLocks noChangeAspect="1" noChangeArrowheads="1"/>
                    </pic:cNvPicPr>
                  </pic:nvPicPr>
                  <pic:blipFill>
                    <a:blip r:embed="rId7"/>
                    <a:srcRect/>
                    <a:stretch>
                      <a:fillRect/>
                    </a:stretch>
                  </pic:blipFill>
                  <pic:spPr>
                    <a:xfrm>
                      <a:off x="0" y="0"/>
                      <a:ext cx="2095997" cy="2751152"/>
                    </a:xfrm>
                    <a:prstGeom prst="rect">
                      <a:avLst/>
                    </a:prstGeom>
                    <a:noFill/>
                    <a:ln w="9525">
                      <a:noFill/>
                      <a:miter lim="800000"/>
                      <a:headEnd/>
                      <a:tailEnd/>
                    </a:ln>
                  </pic:spPr>
                </pic:pic>
              </a:graphicData>
            </a:graphic>
          </wp:anchor>
        </w:drawing>
      </w:r>
    </w:p>
    <w:p w14:paraId="2ABDF867">
      <w:pPr>
        <w:widowControl/>
        <w:jc w:val="left"/>
        <w:rPr>
          <w:rFonts w:ascii="宋体" w:hAnsi="宋体" w:eastAsia="宋体" w:cs="宋体"/>
          <w:kern w:val="0"/>
          <w:sz w:val="24"/>
          <w:szCs w:val="24"/>
        </w:rPr>
      </w:pPr>
      <w:r>
        <w:rPr>
          <w:rFonts w:ascii="宋体" w:hAnsi="宋体" w:eastAsia="宋体" w:cs="宋体"/>
          <w:kern w:val="0"/>
          <w:sz w:val="24"/>
          <w:szCs w:val="24"/>
        </w:rPr>
        <w:t>Doorways inside the mansion</w:t>
      </w:r>
    </w:p>
    <w:p w14:paraId="24EB3186">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b/>
          <w:bCs/>
          <w:kern w:val="0"/>
          <w:sz w:val="24"/>
          <w:szCs w:val="24"/>
        </w:rPr>
        <w:t>Shi Family Grand Courtyard</w:t>
      </w:r>
      <w:r>
        <w:rPr>
          <w:rFonts w:ascii="宋体" w:hAnsi="宋体" w:eastAsia="宋体" w:cs="宋体"/>
          <w:kern w:val="0"/>
          <w:sz w:val="24"/>
          <w:szCs w:val="24"/>
        </w:rPr>
        <w:t xml:space="preserve"> </w:t>
      </w:r>
      <w:bookmarkStart w:id="0" w:name="_GoBack"/>
      <w:bookmarkEnd w:id="0"/>
      <w:r>
        <w:rPr>
          <w:rFonts w:ascii="宋体" w:hAnsi="宋体" w:eastAsia="宋体" w:cs="宋体"/>
          <w:kern w:val="0"/>
          <w:sz w:val="24"/>
          <w:szCs w:val="24"/>
        </w:rPr>
        <w:t xml:space="preserve"> is situated in </w:t>
      </w:r>
      <w:r>
        <w:fldChar w:fldCharType="begin"/>
      </w:r>
      <w:r>
        <w:instrText xml:space="preserve"> HYPERLINK "http://en.wikipedia.org/wiki/Yangliuqing_Town" \o "Yangliuqing Town" </w:instrText>
      </w:r>
      <w:r>
        <w:fldChar w:fldCharType="separate"/>
      </w:r>
      <w:r>
        <w:rPr>
          <w:rFonts w:ascii="宋体" w:hAnsi="宋体" w:eastAsia="宋体" w:cs="宋体"/>
          <w:color w:val="0000FF"/>
          <w:kern w:val="0"/>
          <w:sz w:val="24"/>
          <w:szCs w:val="24"/>
          <w:u w:val="single"/>
        </w:rPr>
        <w:t>Yangliuqing Town</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xml:space="preserve"> of </w:t>
      </w:r>
      <w:r>
        <w:fldChar w:fldCharType="begin"/>
      </w:r>
      <w:r>
        <w:instrText xml:space="preserve"> HYPERLINK "http://en.wikipedia.org/wiki/Xiqing_District" \o "Xiqing District" </w:instrText>
      </w:r>
      <w:r>
        <w:fldChar w:fldCharType="separate"/>
      </w:r>
      <w:r>
        <w:rPr>
          <w:rFonts w:ascii="宋体" w:hAnsi="宋体" w:eastAsia="宋体" w:cs="宋体"/>
          <w:color w:val="0000FF"/>
          <w:kern w:val="0"/>
          <w:sz w:val="24"/>
          <w:szCs w:val="24"/>
          <w:u w:val="single"/>
        </w:rPr>
        <w:t>Xiqing District</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xml:space="preserve">, which is the former residence of wealthy merchant </w:t>
      </w:r>
      <w:r>
        <w:fldChar w:fldCharType="begin"/>
      </w:r>
      <w:r>
        <w:instrText xml:space="preserve"> HYPERLINK "http://en.wikipedia.org/w/index.php?title=Shi_Yuanshi&amp;action=edit&amp;redlink=1" \o "Shi Yuanshi (page does not exist)" </w:instrText>
      </w:r>
      <w:r>
        <w:fldChar w:fldCharType="separate"/>
      </w:r>
      <w:r>
        <w:rPr>
          <w:rFonts w:ascii="宋体" w:hAnsi="宋体" w:eastAsia="宋体" w:cs="宋体"/>
          <w:color w:val="0000FF"/>
          <w:kern w:val="0"/>
          <w:sz w:val="24"/>
          <w:szCs w:val="24"/>
          <w:u w:val="single"/>
        </w:rPr>
        <w:t>Shi Yuanshi</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xml:space="preserve"> – the 4th son of </w:t>
      </w:r>
      <w:r>
        <w:fldChar w:fldCharType="begin"/>
      </w:r>
      <w:r>
        <w:instrText xml:space="preserve"> HYPERLINK "http://en.wikipedia.org/wiki/Shi_Wancheng" \o "Shi Wancheng" </w:instrText>
      </w:r>
      <w:r>
        <w:fldChar w:fldCharType="separate"/>
      </w:r>
      <w:r>
        <w:rPr>
          <w:rFonts w:ascii="宋体" w:hAnsi="宋体" w:eastAsia="宋体" w:cs="宋体"/>
          <w:color w:val="0000FF"/>
          <w:kern w:val="0"/>
          <w:sz w:val="24"/>
          <w:szCs w:val="24"/>
          <w:u w:val="single"/>
        </w:rPr>
        <w:t>Shi Wancheng</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xml:space="preserve">, one of the eight great masters in </w:t>
      </w:r>
      <w:r>
        <w:fldChar w:fldCharType="begin"/>
      </w:r>
      <w:r>
        <w:instrText xml:space="preserve"> HYPERLINK "http://en.wikipedia.org/wiki/Tianjin" \o "Tianjin" </w:instrText>
      </w:r>
      <w:r>
        <w:fldChar w:fldCharType="separate"/>
      </w:r>
      <w:r>
        <w:rPr>
          <w:rFonts w:ascii="宋体" w:hAnsi="宋体" w:eastAsia="宋体" w:cs="宋体"/>
          <w:color w:val="0000FF"/>
          <w:kern w:val="0"/>
          <w:sz w:val="24"/>
          <w:szCs w:val="24"/>
          <w:u w:val="single"/>
        </w:rPr>
        <w:t>Tianjin</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xml:space="preserve">. First built in 1875, it covers over 6,000 square meters, including large and small yards and over 200 folk houses, a theater and over 275 rooms that served as apartments and places of business and worship for this powerful family. Shifu Garden, which finished its expansion in October 2003, covers 1,200 square meters, incorporates the elegance of imperial garden and delicacy of south garden. Now the courtyard of Shi family covers about 10,000 square meters, which is called the first mansion in North China. Now it serves as the folk custom museum in Yangliuqing, which has a large collection of folk custom museum in Yanliuqing, which has a large collection of folk art pieces like </w:t>
      </w:r>
      <w:r>
        <w:fldChar w:fldCharType="begin"/>
      </w:r>
      <w:r>
        <w:instrText xml:space="preserve"> HYPERLINK "http://en.wikipedia.org/w/index.php?title=Yangliuqing_Nianhua&amp;action=edit&amp;redlink=1" \o "Yangliuqing Nianhua (page does not exist)" </w:instrText>
      </w:r>
      <w:r>
        <w:fldChar w:fldCharType="separate"/>
      </w:r>
      <w:r>
        <w:rPr>
          <w:rFonts w:ascii="宋体" w:hAnsi="宋体" w:eastAsia="宋体" w:cs="宋体"/>
          <w:color w:val="0000FF"/>
          <w:kern w:val="0"/>
          <w:sz w:val="24"/>
          <w:szCs w:val="24"/>
          <w:u w:val="single"/>
        </w:rPr>
        <w:t>Yanliuqing New Year pictures</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brick sculpture.</w:t>
      </w:r>
    </w:p>
    <w:p w14:paraId="70A0EFFE">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 xml:space="preserve">Shi's ancestor came from Dong'e County in </w:t>
      </w:r>
      <w:r>
        <w:fldChar w:fldCharType="begin"/>
      </w:r>
      <w:r>
        <w:instrText xml:space="preserve"> HYPERLINK "http://en.wikipedia.org/wiki/Shandong_Province" \o "Shandong Province" </w:instrText>
      </w:r>
      <w:r>
        <w:fldChar w:fldCharType="separate"/>
      </w:r>
      <w:r>
        <w:rPr>
          <w:rFonts w:ascii="宋体" w:hAnsi="宋体" w:eastAsia="宋体" w:cs="宋体"/>
          <w:color w:val="0000FF"/>
          <w:kern w:val="0"/>
          <w:sz w:val="24"/>
          <w:szCs w:val="24"/>
          <w:u w:val="single"/>
        </w:rPr>
        <w:t>Shandong Province</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engaged in water transport of grain. As the wealth gradually accumulated, the Shi Family moved to Yangliuqing and bought large tracts of land and set up their residence. Shi Yuanshi came from the fourth generation of the family, who was a successful businessman and a good household manager, and the residence was thus enlarged for several times until it acquired the present scale. It is believed to be the first mansion in the west of Tianjin.</w:t>
      </w:r>
    </w:p>
    <w:p w14:paraId="2BEAFCBC">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 xml:space="preserve">The residence is </w:t>
      </w:r>
      <w:r>
        <w:fldChar w:fldCharType="begin"/>
      </w:r>
      <w:r>
        <w:instrText xml:space="preserve"> HYPERLINK "http://en.wikipedia.org/wiki/Symmetric" \o "Symmetric" </w:instrText>
      </w:r>
      <w:r>
        <w:fldChar w:fldCharType="separate"/>
      </w:r>
      <w:r>
        <w:rPr>
          <w:rFonts w:ascii="宋体" w:hAnsi="宋体" w:eastAsia="宋体" w:cs="宋体"/>
          <w:color w:val="0000FF"/>
          <w:kern w:val="0"/>
          <w:sz w:val="24"/>
          <w:szCs w:val="24"/>
          <w:u w:val="single"/>
        </w:rPr>
        <w:t>symmetric</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xml:space="preserve"> based on the axis formed by a passage way in the middle, on which there are four </w:t>
      </w:r>
      <w:r>
        <w:fldChar w:fldCharType="begin"/>
      </w:r>
      <w:r>
        <w:instrText xml:space="preserve"> HYPERLINK "http://en.wikipedia.org/wiki/Arch" \o "Arch" </w:instrText>
      </w:r>
      <w:r>
        <w:fldChar w:fldCharType="separate"/>
      </w:r>
      <w:r>
        <w:rPr>
          <w:rFonts w:ascii="宋体" w:hAnsi="宋体" w:eastAsia="宋体" w:cs="宋体"/>
          <w:color w:val="0000FF"/>
          <w:kern w:val="0"/>
          <w:sz w:val="24"/>
          <w:szCs w:val="24"/>
          <w:u w:val="single"/>
        </w:rPr>
        <w:t>archways</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On the east side of the courtyard, there are traditional single-story houses with rows of rooms around the four sides, which was once the living area for the Shi Family. The rooms on north side were the accountants' office. On the west are the major constructions including the family hall for worshiping Buddha, theater and the south reception room. On both sides of the residence are side yard rooms for maids and servants.</w:t>
      </w:r>
    </w:p>
    <w:p w14:paraId="3585B305">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Today, the Shi mansion, located in the township of Yangliuqing to the west of central Tianjin, stands as a surprisingly well-preserved monument to China's pre-revolution mercantile spirit. It also serves as an on-location shoot for many of China's popular historical dramas. Many of the rooms feature period furniture, paintings and calligraphy, and the extensive Shifu Garden.</w:t>
      </w:r>
    </w:p>
    <w:p w14:paraId="26920306">
      <w:pPr>
        <w:widowControl/>
        <w:spacing w:before="100" w:beforeAutospacing="1" w:after="100" w:afterAutospacing="1"/>
        <w:jc w:val="left"/>
        <w:rPr>
          <w:rFonts w:ascii="宋体" w:hAnsi="宋体" w:eastAsia="宋体" w:cs="宋体"/>
          <w:kern w:val="0"/>
          <w:sz w:val="24"/>
          <w:szCs w:val="24"/>
        </w:rPr>
      </w:pPr>
      <w:r>
        <w:rPr>
          <w:rFonts w:ascii="宋体" w:hAnsi="宋体" w:eastAsia="宋体" w:cs="宋体"/>
          <w:kern w:val="0"/>
          <w:sz w:val="24"/>
          <w:szCs w:val="24"/>
        </w:rPr>
        <w:t xml:space="preserve">Part of the complex has been turned into the </w:t>
      </w:r>
      <w:r>
        <w:fldChar w:fldCharType="begin"/>
      </w:r>
      <w:r>
        <w:instrText xml:space="preserve"> HYPERLINK "http://en.wikipedia.org/w/index.php?title=Yangliuqing_Museum&amp;action=edit&amp;redlink=1" \o "Yangliuqing Museum (page does not exist)" </w:instrText>
      </w:r>
      <w:r>
        <w:fldChar w:fldCharType="separate"/>
      </w:r>
      <w:r>
        <w:rPr>
          <w:rFonts w:ascii="宋体" w:hAnsi="宋体" w:eastAsia="宋体" w:cs="宋体"/>
          <w:color w:val="0000FF"/>
          <w:kern w:val="0"/>
          <w:sz w:val="24"/>
          <w:szCs w:val="24"/>
          <w:u w:val="single"/>
        </w:rPr>
        <w:t>Yangliuqing Museum</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xml:space="preserve">, which includes displays focused on symbolic aspects of the </w:t>
      </w:r>
      <w:r>
        <w:fldChar w:fldCharType="begin"/>
      </w:r>
      <w:r>
        <w:instrText xml:space="preserve"> HYPERLINK "http://en.wikipedia.org/wiki/Courtyard" \o "Courtyard" </w:instrText>
      </w:r>
      <w:r>
        <w:fldChar w:fldCharType="separate"/>
      </w:r>
      <w:r>
        <w:rPr>
          <w:rFonts w:ascii="宋体" w:hAnsi="宋体" w:eastAsia="宋体" w:cs="宋体"/>
          <w:color w:val="0000FF"/>
          <w:kern w:val="0"/>
          <w:sz w:val="24"/>
          <w:szCs w:val="24"/>
          <w:u w:val="single"/>
        </w:rPr>
        <w:t>courtyards</w:t>
      </w:r>
      <w:r>
        <w:rPr>
          <w:rFonts w:ascii="宋体" w:hAnsi="宋体" w:eastAsia="宋体" w:cs="宋体"/>
          <w:color w:val="0000FF"/>
          <w:kern w:val="0"/>
          <w:sz w:val="24"/>
          <w:szCs w:val="24"/>
          <w:u w:val="single"/>
        </w:rPr>
        <w:fldChar w:fldCharType="end"/>
      </w:r>
      <w:r>
        <w:rPr>
          <w:rFonts w:ascii="宋体" w:hAnsi="宋体" w:eastAsia="宋体" w:cs="宋体"/>
          <w:kern w:val="0"/>
          <w:sz w:val="24"/>
          <w:szCs w:val="24"/>
        </w:rPr>
        <w:t>' construction, local folk art and customs, and traditional period furnishings and crafts.</w:t>
      </w:r>
    </w:p>
    <w:p w14:paraId="67BE318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D34AD"/>
    <w:rsid w:val="003A1591"/>
    <w:rsid w:val="009D34AD"/>
    <w:rsid w:val="6E2E1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3"/>
    <w:semiHidden/>
    <w:unhideWhenUsed/>
    <w:qFormat/>
    <w:uiPriority w:val="99"/>
    <w:rPr>
      <w:sz w:val="18"/>
      <w:szCs w:val="18"/>
    </w:rPr>
  </w:style>
  <w:style w:type="paragraph" w:styleId="3">
    <w:name w:val="footer"/>
    <w:basedOn w:val="1"/>
    <w:link w:val="10"/>
    <w:semiHidden/>
    <w:unhideWhenUsed/>
    <w:uiPriority w:val="99"/>
    <w:pPr>
      <w:tabs>
        <w:tab w:val="center" w:pos="4153"/>
        <w:tab w:val="right" w:pos="8306"/>
      </w:tabs>
      <w:snapToGrid w:val="0"/>
      <w:jc w:val="left"/>
    </w:pPr>
    <w:rPr>
      <w:sz w:val="18"/>
      <w:szCs w:val="18"/>
    </w:rPr>
  </w:style>
  <w:style w:type="paragraph" w:styleId="4">
    <w:name w:val="header"/>
    <w:basedOn w:val="1"/>
    <w:link w:val="9"/>
    <w:semiHidden/>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Hyperlink"/>
    <w:basedOn w:val="7"/>
    <w:semiHidden/>
    <w:unhideWhenUsed/>
    <w:qFormat/>
    <w:uiPriority w:val="99"/>
    <w:rPr>
      <w:color w:val="0000FF"/>
      <w:u w:val="single"/>
    </w:rPr>
  </w:style>
  <w:style w:type="character" w:customStyle="1" w:styleId="9">
    <w:name w:val="页眉 Char"/>
    <w:basedOn w:val="7"/>
    <w:link w:val="4"/>
    <w:semiHidden/>
    <w:uiPriority w:val="99"/>
    <w:rPr>
      <w:sz w:val="18"/>
      <w:szCs w:val="18"/>
    </w:rPr>
  </w:style>
  <w:style w:type="character" w:customStyle="1" w:styleId="10">
    <w:name w:val="页脚 Char"/>
    <w:basedOn w:val="7"/>
    <w:link w:val="3"/>
    <w:semiHidden/>
    <w:uiPriority w:val="99"/>
    <w:rPr>
      <w:sz w:val="18"/>
      <w:szCs w:val="18"/>
    </w:rPr>
  </w:style>
  <w:style w:type="character" w:customStyle="1" w:styleId="11">
    <w:name w:val="mbox-text-span3"/>
    <w:basedOn w:val="7"/>
    <w:uiPriority w:val="0"/>
  </w:style>
  <w:style w:type="character" w:customStyle="1" w:styleId="12">
    <w:name w:val="hide-when-compact2"/>
    <w:basedOn w:val="7"/>
    <w:qFormat/>
    <w:uiPriority w:val="0"/>
  </w:style>
  <w:style w:type="character" w:customStyle="1" w:styleId="13">
    <w:name w:val="批注框文本 Char"/>
    <w:basedOn w:val="7"/>
    <w:link w:val="2"/>
    <w:semiHidden/>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hyperlink" Target="http://en.wikipedia.org/wiki/File:Shiyuan_tianjin_doorways.jpg" TargetMode="External"/><Relationship Id="rId5" Type="http://schemas.openxmlformats.org/officeDocument/2006/relationships/image" Target="media/image1.png"/><Relationship Id="rId4" Type="http://schemas.openxmlformats.org/officeDocument/2006/relationships/hyperlink" Target="http://en.wikipedia.org/wiki/File:Question_book-new.svg"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天津大学</Company>
  <Pages>2</Pages>
  <Words>480</Words>
  <Characters>2440</Characters>
  <Lines>32</Lines>
  <Paragraphs>9</Paragraphs>
  <TotalTime>1</TotalTime>
  <ScaleCrop>false</ScaleCrop>
  <LinksUpToDate>false</LinksUpToDate>
  <CharactersWithSpaces>2906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2014-08-12T03:27:00Z</dcterms:created>
  <dc:creator>eva-jacque</dc:creator>
  <cp:lastModifiedBy>从文狸</cp:lastModifiedBy>
  <dcterms:modified xsi:type="dcterms:W3CDTF">2026-10-23T01:57:22Z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eyJoZGlkIjoiYjA3YWI5OWJjOTA1YjRiYmNkM2MxMGMwYzQ3NWY5MDciLCJ1c2VySWQiOiIxMDYwMzYzMjcxIn0=</vt:lpwstr>
  </property>
  <property fmtid="{D5CDD505-2E9C-101B-9397-08002B2CF9AE}" pid="3" name="KSOProductBuildVer">
    <vt:lpwstr>2052-12.1.0.28505</vt:lpwstr>
  </property>
  <property fmtid="{D5CDD505-2E9C-101B-9397-08002B2CF9AE}" pid="4" name="ICV">
    <vt:lpwstr>F2F3F59FF5E243AEB0E7E23CC5337D98_12</vt:lpwstr>
  </property>
</Properties>
</file>