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Regimes and Equity Volatility</w:t>
      </w:r>
    </w:p>
    <w:p>
      <w:r>
        <w:t>This independent project uses original market and macroeconomic data to assess regime identification and future realized-volatility forecasting. The pipeline was executed and the outputs saved under the project folders.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