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Helvetica Neue Light" w:cs="Helvetica Neue Light" w:eastAsia="Helvetica Neue Light" w:hAnsi="Helvetica Neue Light"/>
          <w:color w:val="df2f26"/>
          <w:sz w:val="56"/>
          <w:szCs w:val="56"/>
        </w:rPr>
        <w:t xml:space="preserve">Landscape Insights for the Socratic Tutor MVP</w:t>
      </w:r>
    </w:p>
    <w:p>
      <w:pPr>
        <w:pStyle w:val="Subtitle"/>
        <w:spacing w:after="400"/>
      </w:pPr>
      <w:r>
        <w:rPr>
          <w:rFonts w:ascii="Helvetica Neue Light" w:cs="Helvetica Neue Light" w:eastAsia="Helvetica Neue Light" w:hAnsi="Helvetica Neue Light"/>
          <w:color w:val="3c3732"/>
          <w:sz w:val="42"/>
          <w:szCs w:val="42"/>
        </w:rPr>
        <w:t xml:space="preserve">What the Research Tells Us and What to Build Next</w:t>
      </w:r>
    </w:p>
    <w:p>
      <w:pPr>
        <w:spacing w:after="200" w:line="276" w:lineRule="auto"/>
      </w:pPr>
      <w:r>
        <w:rPr>
          <w:rFonts w:ascii="Helvetica Neue" w:cs="Helvetica Neue" w:eastAsia="Helvetica Neue" w:hAnsi="Helvetica Neue"/>
          <w:color w:val="000000"/>
          <w:sz w:val="22"/>
          <w:szCs w:val="22"/>
        </w:rPr>
        <w:t xml:space="preserve">This document maps insights from the competitive landscape analysis against the current Socratic Tutor prototype and design document. It identifies specific features, interaction patterns, and design decisions from existing tools that would strengthen the MVP — organized by impact and implementation effort.</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Three Patterns That Should Shape the MVP</w:t>
      </w:r>
    </w:p>
    <w:p>
      <w:pPr>
        <w:spacing w:after="200" w:line="276" w:lineRule="auto"/>
      </w:pPr>
      <w:r>
        <w:rPr>
          <w:rFonts w:ascii="Helvetica Neue" w:cs="Helvetica Neue" w:eastAsia="Helvetica Neue" w:hAnsi="Helvetica Neue"/>
          <w:color w:val="000000"/>
          <w:sz w:val="22"/>
          <w:szCs w:val="22"/>
        </w:rPr>
        <w:t xml:space="preserve">The research surfaced three recurring patterns across the strongest tools in this space. Each one has direct implications for how the Socratic Tutor should be built.</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1. Mode Separation: Not Everything Should Be One Chat</w:t>
      </w:r>
    </w:p>
    <w:p>
      <w:pPr>
        <w:spacing w:after="200" w:line="276" w:lineRule="auto"/>
      </w:pPr>
      <w:r>
        <w:rPr>
          <w:rFonts w:ascii="Helvetica Neue" w:cs="Helvetica Neue" w:eastAsia="Helvetica Neue" w:hAnsi="Helvetica Neue"/>
          <w:color w:val="000000"/>
          <w:sz w:val="22"/>
          <w:szCs w:val="22"/>
        </w:rPr>
        <w:t xml:space="preserve">Coursera Coach explicitly separates "learning assistance" (explain this concept), "interactive instruction" (Socratic dialogue), and "career guidance" into distinct product modes. LinkedIn Learning separates coaching from role play. Top Hat separates instructor-facing authoring tools from student-facing study support. The current Socratic Tutor prototype treats everything as a single chat conversation.</w:t>
      </w:r>
    </w:p>
    <w:p>
      <w:pPr>
        <w:spacing w:after="2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What this means for the MVP:</w:t>
      </w:r>
      <w:r>
        <w:rPr>
          <w:rFonts w:ascii="Helvetica Neue" w:cs="Helvetica Neue" w:eastAsia="Helvetica Neue" w:hAnsi="Helvetica Neue"/>
          <w:color w:val="000000"/>
          <w:sz w:val="22"/>
          <w:szCs w:val="22"/>
        </w:rPr>
        <w:t xml:space="preserve"> The tutor should distinguish between at least two modes of interaction. When a student asks "what does this passage mean?" (comprehension), the tutor can offer a direct explanation. When a student asks about a conceptual question or attempts to apply an idea, the tutor switches into Socratic mode with the three-attempt threshold. This prevents the frustrating experience of being Socratically questioned when you just need a passage clarified, while preserving rigor where it matters. The mode distinction can be handled by the AI model itself (classifying each message intent) rather than requiring the student to choose a mode manually.</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2. Metacognitive Checkpoints: Help Learners Know What They Know</w:t>
      </w:r>
    </w:p>
    <w:p>
      <w:pPr>
        <w:spacing w:after="200" w:line="276" w:lineRule="auto"/>
      </w:pPr>
      <w:r>
        <w:rPr>
          <w:rFonts w:ascii="Helvetica Neue" w:cs="Helvetica Neue" w:eastAsia="Helvetica Neue" w:hAnsi="Helvetica Neue"/>
          <w:color w:val="000000"/>
          <w:sz w:val="22"/>
          <w:szCs w:val="22"/>
        </w:rPr>
        <w:t xml:space="preserve">Chegg Create pairs correctness with a confidence rating: students answer, then rate how sure they are, and at the end receive a report showing where confidence and correctness diverged. SmartBook embeds retrieval-practice mini-cycles within assigned readings. These are small but powerful mechanisms that help learners develop self-awareness about their understanding.</w:t>
      </w:r>
    </w:p>
    <w:p>
      <w:pPr>
        <w:spacing w:after="2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What this means for the MVP:</w:t>
      </w:r>
      <w:r>
        <w:rPr>
          <w:rFonts w:ascii="Helvetica Neue" w:cs="Helvetica Neue" w:eastAsia="Helvetica Neue" w:hAnsi="Helvetica Neue"/>
          <w:color w:val="000000"/>
          <w:sz w:val="22"/>
          <w:szCs w:val="22"/>
        </w:rPr>
        <w:t xml:space="preserve"> At the end of a tutoring session (or at natural breakpoints), the tutor should prompt the student with a brief self-assessment: "Before we wrap up, how confident do you feel about [Topic X]?" This serves two purposes. First, it activates metacognition, which research consistently shows improves retention. Second, it gives the instructor report a valuable signal: not just what the student got wrong, but where the student's confidence diverges from their performance. That divergence is often where the most productive class time can be spent.</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3. Aggregation-First Instructor Reports</w:t>
      </w:r>
    </w:p>
    <w:p>
      <w:pPr>
        <w:spacing w:after="200" w:line="276" w:lineRule="auto"/>
      </w:pPr>
      <w:r>
        <w:rPr>
          <w:rFonts w:ascii="Helvetica Neue" w:cs="Helvetica Neue" w:eastAsia="Helvetica Neue" w:hAnsi="Helvetica Neue"/>
          <w:color w:val="000000"/>
          <w:sz w:val="22"/>
          <w:szCs w:val="22"/>
        </w:rPr>
        <w:t xml:space="preserve">Perusall's confusion report clusters student questions into topic areas and surfaces representative questions for the instructor. Cengage's new faculty dashboard proposes class-level insights with individual drill-down, including sentiment analysis. Both are designed so instructors can prepare for class in minutes, not hours.</w:t>
      </w:r>
    </w:p>
    <w:p>
      <w:pPr>
        <w:spacing w:after="200" w:line="276" w:lineRule="auto"/>
      </w:pPr>
      <w:r>
        <w:rPr>
          <w:rFonts w:ascii="Helvetica Neue" w:cs="Helvetica Neue" w:eastAsia="Helvetica Neue" w:hAnsi="Helvetica Neue"/>
          <w:color w:val="000000"/>
          <w:sz w:val="22"/>
          <w:szCs w:val="22"/>
        </w:rPr>
        <w:t xml:space="preserve">The current prototype generates a narrative report per session, which is a good start. But the research makes clear that the report should lead with </w:t>
      </w:r>
      <w:r>
        <w:rPr>
          <w:rFonts w:ascii="Helvetica Neue" w:cs="Helvetica Neue" w:eastAsia="Helvetica Neue" w:hAnsi="Helvetica Neue"/>
          <w:b/>
          <w:bCs/>
          <w:color w:val="000000"/>
          <w:sz w:val="22"/>
          <w:szCs w:val="22"/>
        </w:rPr>
        <w:t xml:space="preserve">clustered misconceptions</w:t>
      </w:r>
      <w:r>
        <w:rPr>
          <w:rFonts w:ascii="Helvetica Neue" w:cs="Helvetica Neue" w:eastAsia="Helvetica Neue" w:hAnsi="Helvetica Neue"/>
          <w:color w:val="000000"/>
          <w:sz w:val="22"/>
          <w:szCs w:val="22"/>
        </w:rPr>
        <w:t xml:space="preserve"> (grouped by topic, not listed chronologically) and include a </w:t>
      </w:r>
      <w:r>
        <w:rPr>
          <w:rFonts w:ascii="Helvetica Neue" w:cs="Helvetica Neue" w:eastAsia="Helvetica Neue" w:hAnsi="Helvetica Neue"/>
          <w:b/>
          <w:bCs/>
          <w:color w:val="000000"/>
          <w:sz w:val="22"/>
          <w:szCs w:val="22"/>
        </w:rPr>
        <w:t xml:space="preserve">readiness signal</w:t>
      </w:r>
      <w:r>
        <w:rPr>
          <w:rFonts w:ascii="Helvetica Neue" w:cs="Helvetica Neue" w:eastAsia="Helvetica Neue" w:hAnsi="Helvetica Neue"/>
          <w:color w:val="000000"/>
          <w:sz w:val="22"/>
          <w:szCs w:val="22"/>
        </w:rPr>
        <w:t xml:space="preserve"> (how many students are prepared versus struggling on each concept). The narrative debrief remains valuable, but it should follow the structured data, not replace it.</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Feature-by-Feature Recommendations</w:t>
      </w:r>
    </w:p>
    <w:p>
      <w:pPr>
        <w:spacing w:after="200" w:line="276" w:lineRule="auto"/>
      </w:pPr>
      <w:r>
        <w:rPr>
          <w:rFonts w:ascii="Helvetica Neue" w:cs="Helvetica Neue" w:eastAsia="Helvetica Neue" w:hAnsi="Helvetica Neue"/>
          <w:color w:val="000000"/>
          <w:sz w:val="22"/>
          <w:szCs w:val="22"/>
        </w:rPr>
        <w:t xml:space="preserve">The following table maps specific features and design decisions from the landscape research to the Socratic Tutor MVP. Each row identifies what was observed, where it was observed, whether the current prototype or design document already accounts for it, and what specifically should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c>
          <w:tcPr>
            <w:tcW w:type="dxa" w:w="18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Feature / Pattern</w:t>
            </w:r>
          </w:p>
        </w:tc>
        <w:tc>
          <w:tcPr>
            <w:tcW w:type="dxa" w:w="20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Source Tools</w:t>
            </w:r>
          </w:p>
        </w:tc>
        <w:tc>
          <w:tcPr>
            <w:tcW w:type="dxa" w:w="16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Current Status</w:t>
            </w:r>
          </w:p>
        </w:tc>
        <w:tc>
          <w:tcPr>
            <w:tcW w:type="dxa" w:w="396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Recommendation</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Mode separation (explain vs. Socratic vs. practice)</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Coursera Coach, LinkedIn Learning, Top Hat</w:t>
            </w:r>
          </w:p>
        </w:tc>
        <w:tc>
          <w:tcPr>
            <w:tcW w:type="dxa" w:w="16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92400e"/>
                <w:sz w:val="20"/>
                <w:szCs w:val="20"/>
              </w:rPr>
              <w:t xml:space="preserve">Not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Add intent classification to the tutor's system prompt. When a student asks a comprehension question about a passage, the tutor explains directly. When a student engages with a conceptual question, the Socratic three-attempt policy applies.</w:t>
            </w:r>
          </w:p>
          <w:p>
            <w:pPr>
              <w:spacing w:after="0" w:line="260" w:lineRule="auto"/>
            </w:pPr>
            <w:r>
              <w:rPr>
                <w:rFonts w:ascii="Helvetica Neue" w:cs="Helvetica Neue" w:eastAsia="Helvetica Neue" w:hAnsi="Helvetica Neue"/>
                <w:color w:val="000000"/>
                <w:sz w:val="20"/>
                <w:szCs w:val="20"/>
              </w:rPr>
              <w:t xml:space="preserve">This is a prompt-level change, not an architecture change. Low effort, high impact.</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Metacognitive confidence checks</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Chegg Create, SmartBook</w:t>
            </w:r>
          </w:p>
        </w:tc>
        <w:tc>
          <w:tcPr>
            <w:tcW w:type="dxa" w:w="16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92400e"/>
                <w:sz w:val="20"/>
                <w:szCs w:val="20"/>
              </w:rPr>
              <w:t xml:space="preserve">Not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At session end (or after every three to four exchanges), the tutor prompts: "How confident do you feel about [topic]?" on a simple scale.</w:t>
            </w:r>
          </w:p>
          <w:p>
            <w:pPr>
              <w:spacing w:after="0" w:line="260" w:lineRule="auto"/>
            </w:pPr>
            <w:r>
              <w:rPr>
                <w:rFonts w:ascii="Helvetica Neue" w:cs="Helvetica Neue" w:eastAsia="Helvetica Neue" w:hAnsi="Helvetica Neue"/>
                <w:color w:val="000000"/>
                <w:sz w:val="20"/>
                <w:szCs w:val="20"/>
              </w:rPr>
              <w:t xml:space="preserve">Log the confidence rating alongside performance data. Surface confidence-performance mismatches in the instructor report.</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Clustered misconception report</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Perusall, Cengage MindTap</w:t>
            </w:r>
          </w:p>
        </w:tc>
        <w:tc>
          <w:tcPr>
            <w:tcW w:type="dxa" w:w="1600"/>
            <w:tcBorders>
              <w:top w:val="single" w:color="3c3732" w:sz="4"/>
              <w:left w:val="none" w:color="FFFFFF" w:sz="0"/>
              <w:bottom w:val="single" w:color="3c3732" w:sz="4"/>
              <w:right w:val="none" w:color="FFFFFF" w:sz="0"/>
            </w:tcBorders>
            <w:shd w:fill="d1fae5"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65f46"/>
                <w:sz w:val="20"/>
                <w:szCs w:val="20"/>
              </w:rPr>
              <w:t xml:space="preserve">Partially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The design doc proposes a structured report. The research shows it should lead with topic-clustered misconceptions (not chronological lists) and include representative student quotes.</w:t>
            </w:r>
          </w:p>
          <w:p>
            <w:pPr>
              <w:spacing w:after="0" w:line="260" w:lineRule="auto"/>
            </w:pPr>
            <w:r>
              <w:rPr>
                <w:rFonts w:ascii="Helvetica Neue" w:cs="Helvetica Neue" w:eastAsia="Helvetica Neue" w:hAnsi="Helvetica Neue"/>
                <w:color w:val="000000"/>
                <w:sz w:val="20"/>
                <w:szCs w:val="20"/>
              </w:rPr>
              <w:t xml:space="preserve">Add a "readiness heatmap" concept: for each key reading topic, show green/yellow/red based on how students performed.</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Per-student drill-down in reports</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Cengage, Cognii, Khanmigo</w:t>
            </w:r>
          </w:p>
        </w:tc>
        <w:tc>
          <w:tcPr>
            <w:tcW w:type="dxa" w:w="1600"/>
            <w:tcBorders>
              <w:top w:val="single" w:color="3c3732" w:sz="4"/>
              <w:left w:val="none" w:color="FFFFFF" w:sz="0"/>
              <w:bottom w:val="single" w:color="3c3732" w:sz="4"/>
              <w:right w:val="none" w:color="FFFFFF" w:sz="0"/>
            </w:tcBorders>
            <w:shd w:fill="d1fae5"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65f46"/>
                <w:sz w:val="20"/>
                <w:szCs w:val="20"/>
              </w:rPr>
              <w:t xml:space="preserve">In design doc</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0" w:line="260" w:lineRule="auto"/>
            </w:pPr>
            <w:r>
              <w:rPr>
                <w:rFonts w:ascii="Helvetica Neue" w:cs="Helvetica Neue" w:eastAsia="Helvetica Neue" w:hAnsi="Helvetica Neue"/>
                <w:color w:val="000000"/>
                <w:sz w:val="20"/>
                <w:szCs w:val="20"/>
              </w:rPr>
              <w:t xml:space="preserve">Already planned. Add one thing from Cognii: the ability to "replay" a student's exchange on a specific concept, so the instructor can see the reasoning path, not just the outcome.</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Citation/grounding in tutor responses</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Pearson AI Study Tool, Ed Discussion Bots++</w:t>
            </w:r>
          </w:p>
        </w:tc>
        <w:tc>
          <w:tcPr>
            <w:tcW w:type="dxa" w:w="16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92400e"/>
                <w:sz w:val="20"/>
                <w:szCs w:val="20"/>
              </w:rPr>
              <w:t xml:space="preserve">Not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When the tutor references a concept from the readings, it should cite which reading and (if possible) which section. This builds trust and teaches students to go back to the source.</w:t>
            </w:r>
          </w:p>
          <w:p>
            <w:pPr>
              <w:spacing w:after="0" w:line="260" w:lineRule="auto"/>
            </w:pPr>
            <w:r>
              <w:rPr>
                <w:rFonts w:ascii="Helvetica Neue" w:cs="Helvetica Neue" w:eastAsia="Helvetica Neue" w:hAnsi="Helvetica Neue"/>
                <w:color w:val="000000"/>
                <w:sz w:val="20"/>
                <w:szCs w:val="20"/>
              </w:rPr>
              <w:t xml:space="preserve">Implement by including reading names and section markers in the system prompt, and instructing the model to reference them.</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Human verification / guardrail controls</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Ed Discussion Bots++</w:t>
            </w:r>
          </w:p>
        </w:tc>
        <w:tc>
          <w:tcPr>
            <w:tcW w:type="dxa" w:w="16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92400e"/>
                <w:sz w:val="20"/>
                <w:szCs w:val="20"/>
              </w:rPr>
              <w:t xml:space="preserve">Not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For high-stakes deployments, offer an optional "review mode" where tutor responses are held until an instructor or TA approves them. Not needed for MVP launch, but the architecture should support it.</w:t>
            </w:r>
          </w:p>
          <w:p>
            <w:pPr>
              <w:spacing w:after="0" w:line="260" w:lineRule="auto"/>
            </w:pPr>
            <w:r>
              <w:rPr>
                <w:rFonts w:ascii="Helvetica Neue" w:cs="Helvetica Neue" w:eastAsia="Helvetica Neue" w:hAnsi="Helvetica Neue"/>
                <w:color w:val="000000"/>
                <w:sz w:val="20"/>
                <w:szCs w:val="20"/>
              </w:rPr>
              <w:t xml:space="preserve">More immediately: add a clear scope declaration ("This tutor can only discuss the uploaded readings. It cannot search the internet or access other materials.") visible to both students and instructors.</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Retrieval practice / active recall prompts</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SmartBook, Chegg Create</w:t>
            </w:r>
          </w:p>
        </w:tc>
        <w:tc>
          <w:tcPr>
            <w:tcW w:type="dxa" w:w="16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92400e"/>
                <w:sz w:val="20"/>
                <w:szCs w:val="20"/>
              </w:rPr>
              <w:t xml:space="preserve">Not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The tutor currently waits for the student to initiate. Consider a "proactive" mode where, after the greeting, the tutor poses an opening question drawn from the readings to activate recall.</w:t>
            </w:r>
          </w:p>
          <w:p>
            <w:pPr>
              <w:spacing w:after="0" w:line="260" w:lineRule="auto"/>
            </w:pPr>
            <w:r>
              <w:rPr>
                <w:rFonts w:ascii="Helvetica Neue" w:cs="Helvetica Neue" w:eastAsia="Helvetica Neue" w:hAnsi="Helvetica Neue"/>
                <w:color w:val="000000"/>
                <w:sz w:val="20"/>
                <w:szCs w:val="20"/>
              </w:rPr>
              <w:t xml:space="preserve">This aligns with Minerva® active learning principles: the student should be working from the first moment, not staring at a blank chat wondering what to ask.</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Session summary for the student</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Chegg Create, LinkedIn Learning</w:t>
            </w:r>
          </w:p>
        </w:tc>
        <w:tc>
          <w:tcPr>
            <w:tcW w:type="dxa" w:w="16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92400e"/>
                <w:sz w:val="20"/>
                <w:szCs w:val="20"/>
              </w:rPr>
              <w:t xml:space="preserve">Not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When the student ends their session, provide a brief summary: topics covered, areas of strength, concepts to revisit before class.</w:t>
            </w:r>
          </w:p>
          <w:p>
            <w:pPr>
              <w:spacing w:after="0" w:line="260" w:lineRule="auto"/>
            </w:pPr>
            <w:r>
              <w:rPr>
                <w:rFonts w:ascii="Helvetica Neue" w:cs="Helvetica Neue" w:eastAsia="Helvetica Neue" w:hAnsi="Helvetica Neue"/>
                <w:color w:val="000000"/>
                <w:sz w:val="20"/>
                <w:szCs w:val="20"/>
              </w:rPr>
              <w:t xml:space="preserve">This is the student-facing counterpart to the instructor report. It closes the learning loop and gives students a concrete preparation checklist.</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Instructor authoring assistance</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Top Hat Ace, Coursera (interactive instruction)</w:t>
            </w:r>
          </w:p>
        </w:tc>
        <w:tc>
          <w:tcPr>
            <w:tcW w:type="dxa" w:w="16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92400e"/>
                <w:sz w:val="20"/>
                <w:szCs w:val="20"/>
              </w:rPr>
              <w:t xml:space="preserve">Not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After readings are uploaded, offer to auto-generate suggested discussion questions or comprehension checks that the instructor can review and approve.</w:t>
            </w:r>
          </w:p>
          <w:p>
            <w:pPr>
              <w:spacing w:after="0" w:line="260" w:lineRule="auto"/>
            </w:pPr>
            <w:r>
              <w:rPr>
                <w:rFonts w:ascii="Helvetica Neue" w:cs="Helvetica Neue" w:eastAsia="Helvetica Neue" w:hAnsi="Helvetica Neue"/>
                <w:color w:val="000000"/>
                <w:sz w:val="20"/>
                <w:szCs w:val="20"/>
              </w:rPr>
              <w:t xml:space="preserve">This is Top Hat's two-sided strategy: AI helps instructors author, which drives instructor adoption, which drives student usage. Even a simple "suggested questions" feature adds significant value.</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Privacy-aware analytics (no raw transcripts by default)</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Research/practitioner literature, Perusall</w:t>
            </w:r>
          </w:p>
        </w:tc>
        <w:tc>
          <w:tcPr>
            <w:tcW w:type="dxa" w:w="1600"/>
            <w:tcBorders>
              <w:top w:val="single" w:color="3c3732" w:sz="4"/>
              <w:left w:val="none" w:color="FFFFFF" w:sz="0"/>
              <w:bottom w:val="single" w:color="3c3732" w:sz="4"/>
              <w:right w:val="none" w:color="FFFFFF" w:sz="0"/>
            </w:tcBorders>
            <w:shd w:fill="d1fae5"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65f46"/>
                <w:sz w:val="20"/>
                <w:szCs w:val="20"/>
              </w:rPr>
              <w:t xml:space="preserve">Partially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The design doc generates a summarized report, which is the right instinct. Make this a deliberate design principle: the default instructor view is aggregated and summarized. Raw transcripts are available only on request, behind one additional click.</w:t>
            </w:r>
          </w:p>
          <w:p>
            <w:pPr>
              <w:spacing w:after="0" w:line="260" w:lineRule="auto"/>
            </w:pPr>
            <w:r>
              <w:rPr>
                <w:rFonts w:ascii="Helvetica Neue" w:cs="Helvetica Neue" w:eastAsia="Helvetica Neue" w:hAnsi="Helvetica Neue"/>
                <w:color w:val="000000"/>
                <w:sz w:val="20"/>
                <w:szCs w:val="20"/>
              </w:rPr>
              <w:t xml:space="preserve">This balances accountability with student psychological safety.</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Scope declaration and trust signals</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Ed Discussion Bots++, Pearson, Udemy</w:t>
            </w:r>
          </w:p>
        </w:tc>
        <w:tc>
          <w:tcPr>
            <w:tcW w:type="dxa" w:w="16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92400e"/>
                <w:sz w:val="20"/>
                <w:szCs w:val="20"/>
              </w:rPr>
              <w:t xml:space="preserve">Not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Multiple tools explicitly state what the AI cannot do. Ed Discussion's bot page says: no internet, no Canvas access, no multimedia. Pearson warns it cannot cover recent developments.</w:t>
            </w:r>
          </w:p>
          <w:p>
            <w:pPr>
              <w:spacing w:after="0" w:line="260" w:lineRule="auto"/>
            </w:pPr>
            <w:r>
              <w:rPr>
                <w:rFonts w:ascii="Helvetica Neue" w:cs="Helvetica Neue" w:eastAsia="Helvetica Neue" w:hAnsi="Helvetica Neue"/>
                <w:color w:val="000000"/>
                <w:sz w:val="20"/>
                <w:szCs w:val="20"/>
              </w:rPr>
              <w:t xml:space="preserve">Add a visible scope statement to both instructor and student views: "This tutor draws only from the uploaded readings. It does not search the internet and may not cover topics outside these materials."</w:t>
            </w:r>
          </w:p>
        </w:tc>
      </w:tr>
      <w:tr>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Inquiry coaching ("ask better questions")</w:t>
            </w:r>
          </w:p>
        </w:tc>
        <w:tc>
          <w:tcPr>
            <w:tcW w:type="dxa" w:w="20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Packback</w:t>
            </w:r>
          </w:p>
        </w:tc>
        <w:tc>
          <w:tcPr>
            <w:tcW w:type="dxa" w:w="16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92400e"/>
                <w:sz w:val="20"/>
                <w:szCs w:val="20"/>
              </w:rPr>
              <w:t xml:space="preserve">Not addressed</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60" w:line="260" w:lineRule="auto"/>
            </w:pPr>
            <w:r>
              <w:rPr>
                <w:rFonts w:ascii="Helvetica Neue" w:cs="Helvetica Neue" w:eastAsia="Helvetica Neue" w:hAnsi="Helvetica Neue"/>
                <w:color w:val="000000"/>
                <w:sz w:val="20"/>
                <w:szCs w:val="20"/>
              </w:rPr>
              <w:t xml:space="preserve">Packback coaches students to ask higher-quality questions, not just answer them. Consider adding a mode where the tutor occasionally pushes back: "That's a good question — can you make it more specific?" or "What assumptions are you making in that question?"</w:t>
            </w:r>
          </w:p>
          <w:p>
            <w:pPr>
              <w:spacing w:after="0" w:line="260" w:lineRule="auto"/>
            </w:pPr>
            <w:r>
              <w:rPr>
                <w:rFonts w:ascii="Helvetica Neue" w:cs="Helvetica Neue" w:eastAsia="Helvetica Neue" w:hAnsi="Helvetica Neue"/>
                <w:color w:val="000000"/>
                <w:sz w:val="20"/>
                <w:szCs w:val="20"/>
              </w:rPr>
              <w:t xml:space="preserve">This is especially appropriate for adult professionals who benefit from sharpening their analytical framing, not just their content knowledge.</w:t>
            </w:r>
          </w:p>
        </w:tc>
      </w:tr>
    </w:tbl>
    <w:p>
      <w:pPr>
        <w:spacing w:after="200" w:line="276" w:lineRule="auto"/>
      </w:pPr>
      <w:r>
        <w:rPr>
          <w:rFonts w:ascii="Helvetica Neue" w:cs="Helvetica Neue" w:eastAsia="Helvetica Neue" w:hAnsi="Helvetica Neue"/>
          <w:color w:val="000000"/>
          <w:sz w:val="22"/>
          <w:szCs w:val="22"/>
        </w:rPr>
        <w:t xml:space="preserve"/>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Cautionary Lessons from the Landscape</w:t>
      </w:r>
    </w:p>
    <w:p>
      <w:pPr>
        <w:spacing w:after="200" w:line="276" w:lineRule="auto"/>
      </w:pPr>
      <w:r>
        <w:rPr>
          <w:rFonts w:ascii="Helvetica Neue" w:cs="Helvetica Neue" w:eastAsia="Helvetica Neue" w:hAnsi="Helvetica Neue"/>
          <w:color w:val="000000"/>
          <w:sz w:val="22"/>
          <w:szCs w:val="22"/>
        </w:rPr>
        <w:t xml:space="preserve">Not everything in the research is a feature to emulate. Several tools reveal pitfalls worth avoiding.</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Quizlet Q-Chat: AI Tutors Can Be Killed</w:t>
      </w:r>
    </w:p>
    <w:p>
      <w:pPr>
        <w:spacing w:after="200" w:line="276" w:lineRule="auto"/>
      </w:pPr>
      <w:r>
        <w:rPr>
          <w:rFonts w:ascii="Helvetica Neue" w:cs="Helvetica Neue" w:eastAsia="Helvetica Neue" w:hAnsi="Helvetica Neue"/>
          <w:color w:val="000000"/>
          <w:sz w:val="22"/>
          <w:szCs w:val="22"/>
        </w:rPr>
        <w:t xml:space="preserve">Quizlet launched Q-Chat as a conversational AI tutor with significant marketing investment, then discontinued it by mid-2025. The research notes this as an important cautionary case. The implication is not that AI tutoring is a bad idea, but that sustaining the economics and user experience at consumer scale is hard. For the Socratic Tutor, which targets a narrower professional learning audience with instructor-mediated deployment, the risk is lower — but cost control (per-session API budgets, conversation length limits) should be designed in from the start.</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Raw Transcript Access: A Surveillance Trap</w:t>
      </w:r>
    </w:p>
    <w:p>
      <w:pPr>
        <w:spacing w:after="200" w:line="276" w:lineRule="auto"/>
      </w:pPr>
      <w:r>
        <w:rPr>
          <w:rFonts w:ascii="Helvetica Neue" w:cs="Helvetica Neue" w:eastAsia="Helvetica Neue" w:hAnsi="Helvetica Neue"/>
          <w:color w:val="000000"/>
          <w:sz w:val="22"/>
          <w:szCs w:val="22"/>
        </w:rPr>
        <w:t xml:space="preserve">Khanmigo gives teachers access to student chat transcripts. Practitioner commentary in the research highlights that this does not scale and may create a chilling effect where students self-censor because they know their instructor can read every message. The design document already proposes summarized reports rather than raw logs, which is the right call. Make this a deliberate, visible design choice: students should know their instructor sees themes and readiness signals, not word-for-word transcripts.</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Algorithmic Grading of Engagement: Contested Territory</w:t>
      </w:r>
    </w:p>
    <w:p>
      <w:pPr>
        <w:spacing w:after="200" w:line="276" w:lineRule="auto"/>
      </w:pPr>
      <w:r>
        <w:rPr>
          <w:rFonts w:ascii="Helvetica Neue" w:cs="Helvetica Neue" w:eastAsia="Helvetica Neue" w:hAnsi="Helvetica Neue"/>
          <w:color w:val="000000"/>
          <w:sz w:val="22"/>
          <w:szCs w:val="22"/>
        </w:rPr>
        <w:t xml:space="preserve">Perusall uses machine learning to score student annotation quality, which is configurable but controversial. Instructors and commentators note potential misalignment between what the algorithm rewards and what constitutes thoughtful reading. For the Socratic Tutor, avoid grading or scoring student engagement algorithmically. Instead, surface observable signals (number of exchanges, topics covered, misconceptions detected, confidence self-assessments) and let the instructor interpret them. The instructor's professional judgment should remain central.</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Revised MVP Priority List</w:t>
      </w:r>
    </w:p>
    <w:p>
      <w:pPr>
        <w:spacing w:after="200" w:line="276" w:lineRule="auto"/>
      </w:pPr>
      <w:r>
        <w:rPr>
          <w:rFonts w:ascii="Helvetica Neue" w:cs="Helvetica Neue" w:eastAsia="Helvetica Neue" w:hAnsi="Helvetica Neue"/>
          <w:color w:val="000000"/>
          <w:sz w:val="22"/>
          <w:szCs w:val="22"/>
        </w:rPr>
        <w:t xml:space="preserve">Incorporating the landscape insights, here is an updated priority list for the MVP. Items marked "new" are additions from the research; items marked "revised" have been modified based on what the landscape revealed.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200"/>
        <w:gridCol w:w="1800"/>
        <w:gridCol w:w="1860"/>
      </w:tblGrid>
      <w:tr>
        <w:tc>
          <w:tcPr>
            <w:tcW w:type="dxa" w:w="9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Priority</w:t>
            </w:r>
          </w:p>
        </w:tc>
        <w:tc>
          <w:tcPr>
            <w:tcW w:type="dxa" w:w="36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Feature</w:t>
            </w:r>
          </w:p>
        </w:tc>
        <w:tc>
          <w:tcPr>
            <w:tcW w:type="dxa" w:w="12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Status</w:t>
            </w:r>
          </w:p>
        </w:tc>
        <w:tc>
          <w:tcPr>
            <w:tcW w:type="dxa" w:w="18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Effort</w:t>
            </w:r>
          </w:p>
        </w:tc>
        <w:tc>
          <w:tcPr>
            <w:tcW w:type="dxa" w:w="186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Source Insight</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P0</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Server-side per-topic attempt tracking</w:t>
            </w:r>
          </w:p>
        </w:tc>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From design doc</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Medium</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Cognii validates the approach</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P0</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Database persistence (SQLite)</w:t>
            </w:r>
          </w:p>
        </w:tc>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From design doc</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Medium</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P0</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Separate instructor / student routes</w:t>
            </w:r>
          </w:p>
        </w:tc>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From design doc</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Low</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P0</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Mode separation: explain vs. Socratic (prompt-level)</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Low (prompt only)</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Coursera, LinkedIn</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P0</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Proactive opening question from readings</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Low (prompt only)</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SmartBook, Chegg</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P0</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Scope declaration visible to students and instructors</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Trivial (UI text)</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Ed Discussion, Pearson</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Citation of readings in tutor responses</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Low (prompt only)</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Pearson, Ed Discussion</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Student end-of-session summary</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Low–Medium</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Chegg, LinkedIn</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Clustered misconception report (topic-grouped, not chronological)</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Revised</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Medium</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Perusall, Cengage</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Metacognitive confidence check at session end</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Low</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Chegg Create</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Session access codes + shareable URLs</w:t>
            </w:r>
          </w:p>
        </w:tc>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From design doc</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Low</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Privacy-first report default (no raw transcripts)</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Revised</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Low (design choice)</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Research literature</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P2</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Auto-generated discussion questions for instructor review</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Medium</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Top Hat, Coursera</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P2</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Inquiry coaching ("sharpen your question")</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Low (prompt only)</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Packback</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P2</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Readiness heatmap (green/yellow/red per topic)</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Medium</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SmartBook, Perusall</w:t>
            </w:r>
          </w:p>
        </w:tc>
      </w:tr>
      <w:tr>
        <w:tc>
          <w:tcPr>
            <w:tcW w:type="dxa" w:w="9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P2</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Exchange replay for instructor drill-down</w:t>
            </w:r>
          </w:p>
        </w:tc>
        <w:tc>
          <w:tcPr>
            <w:tcW w:type="dxa" w:w="1200"/>
            <w:tcBorders>
              <w:top w:val="single" w:color="3c3732" w:sz="4"/>
              <w:left w:val="none" w:color="FFFFFF" w:sz="0"/>
              <w:bottom w:val="single" w:color="3c3732" w:sz="4"/>
              <w:right w:val="none" w:color="FFFFFF" w:sz="0"/>
            </w:tcBorders>
            <w:shd w:fill="fef3c7" w:val="clear"/>
            <w:tcMar>
              <w:top w:type="dxa" w:w="80"/>
              <w:left w:type="dxa" w:w="120"/>
              <w:bottom w:type="dxa" w:w="80"/>
              <w:right w:type="dxa" w:w="120"/>
            </w:tcMar>
          </w:tcPr>
          <w:p>
            <w:pPr>
              <w:spacing w:after="40" w:line="276" w:lineRule="auto"/>
              <w:jc w:val="left"/>
            </w:pPr>
            <w:r>
              <w:rPr>
                <w:rFonts w:ascii="Helvetica Neue" w:cs="Helvetica Neue" w:eastAsia="Helvetica Neue" w:hAnsi="Helvetica Neue"/>
                <w:b/>
                <w:bCs/>
                <w:color w:val="000000"/>
                <w:sz w:val="20"/>
                <w:szCs w:val="20"/>
              </w:rPr>
              <w:t xml:space="preserve">New</w:t>
            </w:r>
          </w:p>
        </w:tc>
        <w:tc>
          <w:tcPr>
            <w:tcW w:type="dxa" w:w="180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Medium</w:t>
            </w:r>
          </w:p>
        </w:tc>
        <w:tc>
          <w:tcPr>
            <w:tcW w:type="dxa" w:w="1860"/>
            <w:tcBorders>
              <w:top w:val="single" w:color="3c3732" w:sz="4"/>
              <w:left w:val="none" w:color="FFFFFF" w:sz="0"/>
              <w:bottom w:val="single" w:color="3c3732" w:sz="4"/>
              <w:right w:val="none" w:color="FFFFFF" w:sz="0"/>
            </w:tcBorders>
            <w:tcMar>
              <w:top w:type="dxa" w:w="80"/>
              <w:left w:type="dxa" w:w="120"/>
              <w:bottom w:type="dxa" w:w="80"/>
              <w:right w:type="dxa" w:w="120"/>
            </w:tcMar>
          </w:tcPr>
          <w:p>
            <w:pPr>
              <w:spacing w:after="40" w:line="276" w:lineRule="auto"/>
              <w:jc w:val="left"/>
            </w:pPr>
            <w:r>
              <w:rPr>
                <w:rFonts w:ascii="Helvetica Neue" w:cs="Helvetica Neue" w:eastAsia="Helvetica Neue" w:hAnsi="Helvetica Neue"/>
                <w:b w:val="false"/>
                <w:bCs w:val="false"/>
                <w:color w:val="000000"/>
                <w:sz w:val="20"/>
                <w:szCs w:val="20"/>
              </w:rPr>
              <w:t xml:space="preserve">Cognii</w:t>
            </w:r>
          </w:p>
        </w:tc>
      </w:tr>
    </w:tbl>
    <w:p>
      <w:pPr>
        <w:spacing w:after="200" w:line="276" w:lineRule="auto"/>
      </w:pPr>
      <w:r>
        <w:rPr>
          <w:rFonts w:ascii="Helvetica Neue" w:cs="Helvetica Neue" w:eastAsia="Helvetica Neue" w:hAnsi="Helvetica Neue"/>
          <w:color w:val="000000"/>
          <w:sz w:val="22"/>
          <w:szCs w:val="22"/>
        </w:rPr>
        <w:t xml:space="preserve"/>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What Would Make This Tool Distinct</w:t>
      </w:r>
    </w:p>
    <w:p>
      <w:pPr>
        <w:spacing w:after="200" w:line="276" w:lineRule="auto"/>
      </w:pPr>
      <w:r>
        <w:rPr>
          <w:rFonts w:ascii="Helvetica Neue" w:cs="Helvetica Neue" w:eastAsia="Helvetica Neue" w:hAnsi="Helvetica Neue"/>
          <w:color w:val="000000"/>
          <w:sz w:val="22"/>
          <w:szCs w:val="22"/>
        </w:rPr>
        <w:t xml:space="preserve">The research confirms that no existing tool occupies the exact space the Socratic Tutor targets. The closest competitors are either publisher-locked (Pearson, SmartBook), K-12-focused (Khanmigo), consumer-facing without instructor visibility (Quizlet, Chegg), or social-annotation tools that rely on peer interaction rather than AI-guided Socratic dialogue (Perusall, Hypothesis). The combination of three things makes this tool genuinely different: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 reliable Socratic contract with adult professionals.</w:t>
      </w:r>
      <w:r>
        <w:rPr>
          <w:rFonts w:ascii="Helvetica Neue" w:cs="Helvetica Neue" w:eastAsia="Helvetica Neue" w:hAnsi="Helvetica Neue"/>
          <w:color w:val="000000"/>
          <w:sz w:val="22"/>
          <w:szCs w:val="22"/>
        </w:rPr>
        <w:t xml:space="preserve"> Not "sometimes guided" or "optionally Socratic" — a clearly communicated, consistently enforced pedagogical stance: you try first, the tutor scaffolds, and direct answers arrive only after genuine effort. Cognii comes closest, but it is enterprise-heavy and not designed for pre-class reading preparation.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An instructor report designed for class preparation, not just analytics.</w:t>
      </w:r>
      <w:r>
        <w:rPr>
          <w:rFonts w:ascii="Helvetica Neue" w:cs="Helvetica Neue" w:eastAsia="Helvetica Neue" w:hAnsi="Helvetica Neue"/>
          <w:color w:val="000000"/>
          <w:sz w:val="22"/>
          <w:szCs w:val="22"/>
        </w:rPr>
        <w:t xml:space="preserve"> Perusall's confusion report is the closest analogue, but it surfaces questions, not misconceptions. The Socratic Tutor should surface misconceptions clustered by topic, with readiness signals and suggested teaching approaches — a document the instructor reads five minutes before class and walks in prepared.</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Content-agnostic but reading-grounded.</w:t>
      </w:r>
      <w:r>
        <w:rPr>
          <w:rFonts w:ascii="Helvetica Neue" w:cs="Helvetica Neue" w:eastAsia="Helvetica Neue" w:hAnsi="Helvetica Neue"/>
          <w:color w:val="000000"/>
          <w:sz w:val="22"/>
          <w:szCs w:val="22"/>
        </w:rPr>
        <w:t xml:space="preserve"> Unlike publisher tools that only work with their own content, the Socratic Tutor works with whatever the instructor uploads. But unlike general-purpose chatbots, it is constrained to those materials — building trust through visible scope limitations rather than trying to be everything.</w:t>
      </w:r>
    </w:p>
    <w:p>
      <w:pPr>
        <w:spacing w:after="200" w:line="276" w:lineRule="auto"/>
      </w:pPr>
      <w:r>
        <w:rPr>
          <w:rFonts w:ascii="Helvetica Neue" w:cs="Helvetica Neue" w:eastAsia="Helvetica Neue" w:hAnsi="Helvetica Neue"/>
          <w:color w:val="000000"/>
          <w:sz w:val="22"/>
          <w:szCs w:val="22"/>
        </w:rPr>
        <w:t xml:space="preserve">The research validates that these three pillars are not just differentiating — they fill genuine gaps in the current landscape.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c3732" w:sz="4" w:space="4"/>
      </w:pBdr>
    </w:pPr>
    <w:r>
      <w:rPr>
        <w:rFonts w:ascii="Helvetica Neue" w:cs="Helvetica Neue" w:eastAsia="Helvetica Neue" w:hAnsi="Helvetica Neue"/>
        <w:color w:val="3c3732"/>
        <w:sz w:val="14"/>
        <w:szCs w:val="14"/>
      </w:rPr>
      <w:t xml:space="preserve">©2026 Minerva Project, Inc.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3732" w:sz="4" w:space="4"/>
      </w:pBdr>
    </w:pPr>
    <w:r>
      <w:rPr>
        <w:rFonts w:ascii="Helvetica Neue" w:cs="Helvetica Neue" w:eastAsia="Helvetica Neue" w:hAnsi="Helvetica Neue"/>
        <w:b/>
        <w:bCs/>
        <w:color w:val="3c3732"/>
        <w:sz w:val="14"/>
        <w:szCs w:val="14"/>
      </w:rPr>
      <w:t xml:space="preserve">Minerva Project</w:t>
    </w:r>
    <w:r>
      <w:rPr>
        <w:rFonts w:ascii="Helvetica Neue" w:cs="Helvetica Neue" w:eastAsia="Helvetica Neue" w:hAnsi="Helvetica Neue"/>
        <w:color w:val="3c3732"/>
        <w:sz w:val="14"/>
        <w:szCs w:val="14"/>
      </w:rPr>
      <w:t xml:space="preserve">    |    </w:t>
    </w:r>
    <w:r>
      <w:rPr>
        <w:rFonts w:ascii="Helvetica Neue" w:cs="Helvetica Neue" w:eastAsia="Helvetica Neue" w:hAnsi="Helvetica Neue"/>
        <w:color w:val="3c3732"/>
        <w:sz w:val="14"/>
        <w:szCs w:val="14"/>
      </w:rPr>
      <w:t xml:space="preserve">Professional Learning</w:t>
    </w:r>
    <w:r>
      <w:rPr>
        <w:rFonts w:ascii="Helvetica Neue" w:cs="Helvetica Neue" w:eastAsia="Helvetica Neue" w:hAnsi="Helvetica Neue"/>
        <w:color w:val="3c3732"/>
        <w:sz w:val="14"/>
        <w:szCs w:val="14"/>
      </w:rPr>
      <w:t xml:space="preserve">    |    </w:t>
    </w:r>
    <w:r>
      <w:rPr>
        <w:rFonts w:ascii="Helvetica Neue" w:cs="Helvetica Neue" w:eastAsia="Helvetica Neue" w:hAnsi="Helvetica Neue"/>
        <w:color w:val="3c3732"/>
        <w:sz w:val="14"/>
        <w:szCs w:val="14"/>
      </w:rPr>
      <w:t xml:space="preserve">April 2026</w:t>
    </w:r>
    <w:r>
      <w:rPr>
        <w:rFonts w:ascii="Helvetica Neue" w:cs="Helvetica Neue" w:eastAsia="Helvetica Neue" w:hAnsi="Helvetica Neue"/>
        <w:color w:val="3c3732"/>
        <w:sz w:val="14"/>
        <w:szCs w:val="14"/>
      </w:rPr>
      <w:t xml:space="preserve">    |    </w:t>
    </w:r>
    <w:r>
      <w:rPr>
        <w:rFonts w:ascii="Helvetica Neue" w:cs="Helvetica Neue" w:eastAsia="Helvetica Neue" w:hAnsi="Helvetica Neue"/>
        <w:b/>
        <w:bCs/>
        <w:color w:val="3c3732"/>
        <w:sz w:val="14"/>
        <w:szCs w:val="14"/>
      </w:rPr>
      <w:t xml:space="preserve">Landscape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keepLines/>
      <w:spacing w:after="200" w:before="0"/>
    </w:pPr>
    <w:rPr>
      <w:rFonts w:ascii="Helvetica Neue Light" w:cs="Helvetica Neue Light" w:eastAsia="Helvetica Neue Light" w:hAnsi="Helvetica Neue Light"/>
      <w:color w:val="df2f26"/>
      <w:sz w:val="56"/>
      <w:szCs w:val="56"/>
    </w:rPr>
  </w:style>
  <w:style w:type="paragraph" w:styleId="Subtitle">
    <w:name w:val="Subtitle"/>
    <w:basedOn w:val="Normal"/>
    <w:next w:val="Normal"/>
    <w:pPr>
      <w:keepNext/>
      <w:keepLines/>
      <w:spacing w:after="200" w:before="0"/>
    </w:pPr>
    <w:rPr>
      <w:rFonts w:ascii="Helvetica Neue Light" w:cs="Helvetica Neue Light" w:eastAsia="Helvetica Neue Light" w:hAnsi="Helvetica Neue Light"/>
      <w:color w:val="3c3732"/>
      <w:sz w:val="42"/>
      <w:szCs w:val="42"/>
    </w:rPr>
  </w:style>
  <w:style w:type="paragraph" w:styleId="Heading1">
    <w:name w:val="Heading 1"/>
    <w:basedOn w:val="Normal"/>
    <w:next w:val="Normal"/>
    <w:qFormat/>
    <w:pPr>
      <w:keepNext/>
      <w:keepLines/>
      <w:spacing w:after="200" w:before="0" w:line="240" w:lineRule="auto"/>
      <w:outlineLvl w:val="0"/>
    </w:pPr>
    <w:rPr>
      <w:rFonts w:ascii="Helvetica Neue Light" w:cs="Helvetica Neue Light" w:eastAsia="Helvetica Neue Light" w:hAnsi="Helvetica Neue Light"/>
      <w:color w:val="df2f26"/>
      <w:sz w:val="42"/>
      <w:szCs w:val="42"/>
    </w:rPr>
  </w:style>
  <w:style w:type="paragraph" w:styleId="Heading2">
    <w:name w:val="Heading 2"/>
    <w:basedOn w:val="Normal"/>
    <w:next w:val="Normal"/>
    <w:qFormat/>
    <w:pPr>
      <w:keepNext/>
      <w:keepLines/>
      <w:spacing w:after="200" w:before="0" w:line="276" w:lineRule="auto"/>
      <w:outlineLvl w:val="1"/>
    </w:pPr>
    <w:rPr>
      <w:b/>
      <w:bCs/>
      <w:color w:val="3c3732"/>
      <w:sz w:val="28"/>
      <w:szCs w:val="28"/>
    </w:rPr>
  </w:style>
  <w:style w:type="paragraph" w:styleId="Heading3">
    <w:name w:val="Heading 3"/>
    <w:basedOn w:val="Normal"/>
    <w:next w:val="Normal"/>
    <w:qFormat/>
    <w:pPr>
      <w:keepNext/>
      <w:keepLines/>
      <w:spacing w:after="200" w:before="0" w:line="276" w:lineRule="auto"/>
      <w:outlineLvl w:val="2"/>
    </w:pPr>
    <w:rPr>
      <w:color w:val="df2f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2026-04-07T16:07:57.384Z</dcterms:created>
  <dcterms:modified xsi:type="dcterms:W3CDTF">2026-04-07T16:07:57.384Z</dcterms:modified>
</cp:coreProperties>
</file>

<file path=docProps/custom.xml><?xml version="1.0" encoding="utf-8"?>
<Properties xmlns="http://schemas.openxmlformats.org/officeDocument/2006/custom-properties" xmlns:vt="http://schemas.openxmlformats.org/officeDocument/2006/docPropsVTypes"/>
</file>