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Helvetica Neue Light" w:cs="Helvetica Neue Light" w:eastAsia="Helvetica Neue Light" w:hAnsi="Helvetica Neue Light"/>
          <w:color w:val="df2f26"/>
          <w:sz w:val="56"/>
          <w:szCs w:val="56"/>
        </w:rPr>
        <w:t xml:space="preserve">Socratic Tutor: Review and Directions</w:t>
      </w:r>
    </w:p>
    <w:p>
      <w:pPr>
        <w:pStyle w:val="Subtitle"/>
        <w:spacing w:after="400"/>
      </w:pPr>
      <w:r>
        <w:rPr>
          <w:rFonts w:ascii="Helvetica Neue Light" w:cs="Helvetica Neue Light" w:eastAsia="Helvetica Neue Light" w:hAnsi="Helvetica Neue Light"/>
          <w:color w:val="3c3732"/>
          <w:sz w:val="42"/>
          <w:szCs w:val="42"/>
        </w:rPr>
        <w:t xml:space="preserve">Notes on the Prototype, Landscape Research, and Three Paths Forward</w:t>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What Works</w:t>
      </w:r>
    </w:p>
    <w:p>
      <w:pPr>
        <w:spacing w:after="200" w:line="276" w:lineRule="auto"/>
      </w:pPr>
      <w:r>
        <w:rPr>
          <w:rFonts w:ascii="Helvetica Neue" w:cs="Helvetica Neue" w:eastAsia="Helvetica Neue" w:hAnsi="Helvetica Neue"/>
          <w:color w:val="000000"/>
          <w:sz w:val="22"/>
          <w:szCs w:val="22"/>
        </w:rPr>
        <w:t xml:space="preserve">Your brief was clear and the prototype delivers on the core spec. I ran it locally and the UI is clean — the three-tab workflow (Setup → Session → Report) is intuitive and maps directly to how instructors think about pre-class preparation.</w:t>
      </w:r>
    </w:p>
    <w:p>
      <w:pPr>
        <w:spacing w:after="200" w:line="276" w:lineRule="auto"/>
      </w:pPr>
      <w:r>
        <w:rPr>
          <w:rFonts w:ascii="Helvetica Neue" w:cs="Helvetica Neue" w:eastAsia="Helvetica Neue" w:hAnsi="Helvetica Neue"/>
          <w:color w:val="000000"/>
          <w:sz w:val="22"/>
          <w:szCs w:val="22"/>
        </w:rPr>
        <w:t xml:space="preserve">The three-attempt Socratic model is the right pedagogical move. It is essentially what Cognii charges enterprise prices for, and you have the logic working in a lightweight Flask app. The system prompt is well-structured, particularly the misconception logging via hidden tags and the assessment protection. The instructor report concept — generating a debrief that surfaces misconceptions and suggests teaching approaches — is genuinely differentiated.</w:t>
      </w:r>
    </w:p>
    <w:p>
      <w:pPr>
        <w:spacing w:after="200" w:line="276" w:lineRule="auto"/>
      </w:pPr>
      <w:r>
        <w:rPr>
          <w:rFonts w:ascii="Helvetica Neue" w:cs="Helvetica Neue" w:eastAsia="Helvetica Neue" w:hAnsi="Helvetica Neue"/>
          <w:color w:val="000000"/>
          <w:sz w:val="22"/>
          <w:szCs w:val="22"/>
        </w:rPr>
        <w:t xml:space="preserve">I conducted a landscape analysis of 14+ tools in this space: Khanmigo, Coursera Coach, Perusall, Pearson, Cengage MindTap, SmartBook, Packback, Top Hat, Ed Discussion, Chegg Create, Cognii, LinkedIn Learning, Udemy, and Quizlet Q-Chat. </w:t>
      </w:r>
      <w:r>
        <w:rPr>
          <w:rFonts w:ascii="Helvetica Neue" w:cs="Helvetica Neue" w:eastAsia="Helvetica Neue" w:hAnsi="Helvetica Neue"/>
          <w:b/>
          <w:bCs/>
          <w:color w:val="000000"/>
          <w:sz w:val="22"/>
          <w:szCs w:val="22"/>
        </w:rPr>
        <w:t xml:space="preserve">Nobody is doing the combination you designed</w:t>
      </w:r>
      <w:r>
        <w:rPr>
          <w:rFonts w:ascii="Helvetica Neue" w:cs="Helvetica Neue" w:eastAsia="Helvetica Neue" w:hAnsi="Helvetica Neue"/>
          <w:color w:val="000000"/>
          <w:sz w:val="22"/>
          <w:szCs w:val="22"/>
        </w:rPr>
        <w:t xml:space="preserve">: Socratic dialogue grounded in instructor-uploaded readings, with a misconception report that feeds directly into class preparation. Several tools do one or two of these things. None do all three. That is a real gap, and it validates the direction.</w:t>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Questions and Concerns</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Attempt Tracking Is Fragile</w:t>
      </w:r>
    </w:p>
    <w:p>
      <w:pPr>
        <w:spacing w:after="200" w:line="276" w:lineRule="auto"/>
      </w:pPr>
      <w:r>
        <w:rPr>
          <w:rFonts w:ascii="Helvetica Neue" w:cs="Helvetica Neue" w:eastAsia="Helvetica Neue" w:hAnsi="Helvetica Neue"/>
          <w:color w:val="000000"/>
          <w:sz w:val="22"/>
          <w:szCs w:val="22"/>
        </w:rPr>
        <w:t xml:space="preserve">This is the most important thing to get right. The frontend uses a regex to decide if a message is a "new question" (ends with ?, starts with what/how/why) and the server trusts whatever count the client sends. A student could accidentally reset the counter by phrasing a follow-up as a question, or never increment it by avoiding question marks. The counter is also global — it does not track per topic. If someone struggles with Topic A for three attempts then asks about Topic B, the state is muddled. The three-attempt threshold is the core pedagogical contract. If it can be bypassed or triggered incorrectly, the tool loses its Socratic character.</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Data Lives in Memory</w:t>
      </w:r>
    </w:p>
    <w:p>
      <w:pPr>
        <w:spacing w:after="200" w:line="276" w:lineRule="auto"/>
      </w:pPr>
      <w:r>
        <w:rPr>
          <w:rFonts w:ascii="Helvetica Neue" w:cs="Helvetica Neue" w:eastAsia="Helvetica Neue" w:hAnsi="Helvetica Neue"/>
          <w:color w:val="000000"/>
          <w:sz w:val="22"/>
          <w:szCs w:val="22"/>
        </w:rPr>
        <w:t xml:space="preserve">If the server restarts, every session, every report, every interaction is gone. The README says "download reports before stopping the server." For a demo that is fine, but it means an instructor cannot realistically use this across a week of student prep sessions, and there is no way to build longitudinal insight.</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No Separation Between Instructor and Student</w:t>
      </w:r>
    </w:p>
    <w:p>
      <w:pPr>
        <w:spacing w:after="200" w:line="276" w:lineRule="auto"/>
      </w:pPr>
      <w:r>
        <w:rPr>
          <w:rFonts w:ascii="Helvetica Neue" w:cs="Helvetica Neue" w:eastAsia="Helvetica Neue" w:hAnsi="Helvetica Neue"/>
          <w:color w:val="000000"/>
          <w:sz w:val="22"/>
          <w:szCs w:val="22"/>
        </w:rPr>
        <w:t xml:space="preserve">They are tabs on the same page, sharing the same session. A student can switch to the Instructor Setup tab and delete readings, upload files, or generate the report. There is no access code, no student-specific URL, no way to share a session link that restricts what the student can do.</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The API Key Model</w:t>
      </w:r>
    </w:p>
    <w:p>
      <w:pPr>
        <w:spacing w:after="200" w:line="276" w:lineRule="auto"/>
      </w:pPr>
      <w:r>
        <w:rPr>
          <w:rFonts w:ascii="Helvetica Neue" w:cs="Helvetica Neue" w:eastAsia="Helvetica Neue" w:hAnsi="Helvetica Neue"/>
          <w:color w:val="000000"/>
          <w:sz w:val="22"/>
          <w:szCs w:val="22"/>
        </w:rPr>
        <w:t xml:space="preserve">Asking each instructor to obtain an Anthropic API key and run a Python server is a non-starter for non-technical faculty. We need to think about who the operator is and what "setup" realistically looks like for them. The landscape research confirmed that every successful tool in this space (Khanmigo, Coursera Coach, Perusall, all of them) centralizes the AI infrastructure. The end user never touches a key.</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No Student-Facing Closure</w:t>
      </w:r>
    </w:p>
    <w:p>
      <w:pPr>
        <w:spacing w:after="200" w:line="276" w:lineRule="auto"/>
      </w:pPr>
      <w:r>
        <w:rPr>
          <w:rFonts w:ascii="Helvetica Neue" w:cs="Helvetica Neue" w:eastAsia="Helvetica Neue" w:hAnsi="Helvetica Neue"/>
          <w:color w:val="000000"/>
          <w:sz w:val="22"/>
          <w:szCs w:val="22"/>
        </w:rPr>
        <w:t xml:space="preserve">The session ends when the student stops typing. There is no summary of what was covered, no "here is what to revisit before class," no signal that closes the learning loop. The research showed that the best tools (Chegg Create, LinkedIn Learning) include an end-of-session debrief or report card. Adults especially want to know: what did I cover, and what should I do next?</w:t>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Three Directions</w:t>
      </w:r>
    </w:p>
    <w:p>
      <w:pPr>
        <w:spacing w:after="200" w:line="276" w:lineRule="auto"/>
      </w:pPr>
      <w:r>
        <w:rPr>
          <w:rFonts w:ascii="Helvetica Neue" w:cs="Helvetica Neue" w:eastAsia="Helvetica Neue" w:hAnsi="Helvetica Neue"/>
          <w:color w:val="000000"/>
          <w:sz w:val="22"/>
          <w:szCs w:val="22"/>
        </w:rPr>
        <w:t xml:space="preserve">Each direction achieves the same pedagogical goals: Socratic tutoring grounded in course readings, with instructor visibility into student preparation. They differ in what we build and how quickly we can test.</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Direction 1: Prompt-First</w:t>
      </w:r>
    </w:p>
    <w:p>
      <w:pPr>
        <w:spacing w:after="200" w:line="276" w:lineRule="auto"/>
      </w:pPr>
      <w:r>
        <w:rPr>
          <w:rFonts w:ascii="Helvetica Neue" w:cs="Helvetica Neue" w:eastAsia="Helvetica Neue" w:hAnsi="Helvetica Neue"/>
          <w:color w:val="000000"/>
          <w:sz w:val="22"/>
          <w:szCs w:val="22"/>
        </w:rPr>
        <w:t xml:space="preserve">Write a production-grade system prompt and deploy it inside Claude Projects or as a Custom GPT. Instructors create a project, paste the prompt, upload readings, and share the link. Students use their existing AI subscription. No API key, no server, no app.</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What It Includes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Socratic three-attempt model with per-topic thread tracking, handled by the model via prompt instructions rather than code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Two interaction modes: direct explanation for comprehension questions, Socratic scaffolding for conceptual questions (the model classifies silently — the student never sees mode labels)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Proactive opening question drawn from the readings, so the student is working from the first moment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Assessment protection: the tutor never answers uploaded quiz or exam questions directly</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Reading citation in tutor responses ("In [Reading Title], the author argues...")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Inquiry coaching: the tutor pushes back on vague questions ("Can you narrow that down?")</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Metacognitive confidence checks every four to five exchanges ("How confident do you feel about this topic?")</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End-of-session summary: topics covered, strengths, areas to revisit, one question to take to class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Scope declaration: "I only draw from the uploaded readings — I do not search the internet"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Professional, concise tone calibrated for adult learners</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What It Does Not Include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Instructor report (no way to aggregate across students)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Accountability (instructor cannot see who participated or for how long)</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Consistent experience (students could edit the prompt)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Persistence (each conversation is independent)</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Why Consider It</w:t>
      </w:r>
    </w:p>
    <w:p>
      <w:pPr>
        <w:spacing w:after="200" w:line="276" w:lineRule="auto"/>
      </w:pPr>
      <w:r>
        <w:rPr>
          <w:rFonts w:ascii="Helvetica Neue" w:cs="Helvetica Neue" w:eastAsia="Helvetica Neue" w:hAnsi="Helvetica Neue"/>
          <w:color w:val="000000"/>
          <w:sz w:val="22"/>
          <w:szCs w:val="22"/>
        </w:rPr>
        <w:t xml:space="preserve">We could test this with a real cohort within days. Zero engineering. We would learn whether the Socratic model actually works for our learners — do they engage deeply or find it frustrating? Do they use it for five minutes or thirty? What misconceptions surface? That learning directly informs what we build next. I have already drafted the full prompt.</w:t>
      </w:r>
    </w:p>
    <w:p>
      <w:r>
        <w:br w:type="page"/>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Direction 2: Lightweight App</w:t>
      </w:r>
    </w:p>
    <w:p>
      <w:pPr>
        <w:spacing w:after="200" w:line="276" w:lineRule="auto"/>
      </w:pPr>
      <w:r>
        <w:rPr>
          <w:rFonts w:ascii="Helvetica Neue" w:cs="Helvetica Neue" w:eastAsia="Helvetica Neue" w:hAnsi="Helvetica Neue"/>
          <w:color w:val="000000"/>
          <w:sz w:val="22"/>
          <w:szCs w:val="22"/>
        </w:rPr>
        <w:t xml:space="preserve">Rebuild the prototype with the structural fixes it needs — database persistence, separate instructor and student routes, server-side attempt tracking — and add the features the landscape research says matter most. Still a Flask app, but robust enough for real use.</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What It Adds Beyond Direction 1</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SQLite database: sessions, messages, and misconceptions all persist across restarts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Separate instructor and student URLs (instructor sets up at /instructor, students access at /s/{session-code})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Session access codes: instructor-generated passphrases like "coral-theorem-seven"</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Server-side per-topic attempt tracking: the model classifies whether a message continues or starts a new thread, and the server maintains the count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Genuine attempt detection: low-effort messages ("I don't know," "just tell me") are not counted; the server handles this rather than the client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Instructor report with clustered misconceptions grouped by topic and a readiness heatmap (green/yellow/red per concept)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Per-student drill-down, including the ability to replay a specific exchange so the instructor can see the reasoning path (Cognii does this well)</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Privacy-first design: instructor sees aggregated themes and readiness signals by default; raw transcripts available only on request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Student end-of-session summary, explicitly labeled as shareable with the instructor</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Formatted report export as PDF or DOCX</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HTTPS via reverse proxy and Docker packaging for deployment</w:t>
      </w:r>
    </w:p>
    <w:p>
      <w:pPr>
        <w:spacing w:after="200" w:line="276" w:lineRule="auto"/>
      </w:pPr>
      <w:r>
        <w:rPr>
          <w:rFonts w:ascii="Helvetica Neue" w:cs="Helvetica Neue" w:eastAsia="Helvetica Neue" w:hAnsi="Helvetica Neue"/>
          <w:color w:val="000000"/>
          <w:sz w:val="22"/>
          <w:szCs w:val="22"/>
        </w:rPr>
        <w:t xml:space="preserve">One feature I would want your take on: should the tutor auto-generate discussion questions for the instructor after readings are uploaded? Top Hat uses this "two-sided" strategy — AI helps the instructor author, which drives instructor adoption, which drives student usage. It could be a strong addition, or it could be scope creep. What do you think?</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What It Does Not Include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Multi-instructor accounts or tenancy</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Cross-session aggregate reporting</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Real-time monitoring dashboard</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LMS integration</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Cost and Deployment</w:t>
      </w:r>
    </w:p>
    <w:p>
      <w:pPr>
        <w:spacing w:after="200" w:line="276" w:lineRule="auto"/>
      </w:pPr>
      <w:r>
        <w:rPr>
          <w:rFonts w:ascii="Helvetica Neue" w:cs="Helvetica Neue" w:eastAsia="Helvetica Neue" w:hAnsi="Helvetica Neue"/>
          <w:color w:val="000000"/>
          <w:sz w:val="22"/>
          <w:szCs w:val="22"/>
        </w:rPr>
        <w:t xml:space="preserve">One centralized API key, held by whoever operates the server. Instructors never touch a key. Estimated cost per class session: $1–3 for 30 students. We should design in cost controls from the start — a per-session conversation cap (e.g., 20 exchanges) with a clear message when the student is approaching it. Quizlet launched and killed their AI tutor partly because the economics did not hold. We are not at consumer scale, but building cost awareness into the architecture early is free and important.</w:t>
      </w:r>
    </w:p>
    <w:p>
      <w:pPr>
        <w:spacing w:after="2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Timeline estimate:</w:t>
      </w:r>
      <w:r>
        <w:rPr>
          <w:rFonts w:ascii="Helvetica Neue" w:cs="Helvetica Neue" w:eastAsia="Helvetica Neue" w:hAnsi="Helvetica Neue"/>
          <w:color w:val="000000"/>
          <w:sz w:val="22"/>
          <w:szCs w:val="22"/>
        </w:rPr>
        <w:t xml:space="preserve"> Four to six weeks, phased as foundation → distribution → polish.</w:t>
      </w:r>
    </w:p>
    <w:p>
      <w:r>
        <w:br w:type="page"/>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Direction 3: Platform</w:t>
      </w:r>
    </w:p>
    <w:p>
      <w:pPr>
        <w:spacing w:after="200" w:line="276" w:lineRule="auto"/>
      </w:pPr>
      <w:r>
        <w:rPr>
          <w:rFonts w:ascii="Helvetica Neue" w:cs="Helvetica Neue" w:eastAsia="Helvetica Neue" w:hAnsi="Helvetica Neue"/>
          <w:color w:val="000000"/>
          <w:sz w:val="22"/>
          <w:szCs w:val="22"/>
        </w:rPr>
        <w:t xml:space="preserve">Instead of a single-purpose app, build a lightweight platform that multiple instructors across multiple programs can use independently — each creating their own sessions, managing their own cohorts, and getting their own reports.</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What It Adds Beyond Direction 2</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Instructor accounts with login (email + password or SSO)</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Multi-session dashboard: instructor sees all their sessions, past and current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Cross-session aggregate reporting: which misconceptions recur across cohorts, which readings consistently trip people up</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Session scheduling: instructor sets a window ("opens Monday, closes before Wednesday class")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Live monitoring during active sessions: who is working, how deep, any misconceptions detected</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White-label option so partner institutions can use it without Minerva® branding</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Configurable tutor behavior per session: adjust the attempt threshold, toggle Socratic mode, customize tone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PostgreSQL backend and admin layer for managing API usage, costs, and access</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What It Does Not Include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LMS integration (deliberate scope cut — standalone link-sharing is sufficient)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Student accounts (students are identified by name per session, not by persistent accounts)</w:t>
      </w:r>
    </w:p>
    <w:p>
      <w:pPr>
        <w:spacing w:after="2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Timeline estimate:</w:t>
      </w:r>
      <w:r>
        <w:rPr>
          <w:rFonts w:ascii="Helvetica Neue" w:cs="Helvetica Neue" w:eastAsia="Helvetica Neue" w:hAnsi="Helvetica Neue"/>
          <w:color w:val="000000"/>
          <w:sz w:val="22"/>
          <w:szCs w:val="22"/>
        </w:rPr>
        <w:t xml:space="preserve"> Ten to fourteen weeks. If this tool works, multiple programs will want it. Building for reuse from the start avoids a painful rewrite. But the risk is over-building before validating the core experience.</w:t>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Recommendation</w:t>
      </w:r>
    </w:p>
    <w:p>
      <w:pPr>
        <w:spacing w:after="200" w:line="276" w:lineRule="auto"/>
      </w:pPr>
      <w:r>
        <w:rPr>
          <w:rFonts w:ascii="Helvetica Neue" w:cs="Helvetica Neue" w:eastAsia="Helvetica Neue" w:hAnsi="Helvetica Neue"/>
          <w:color w:val="000000"/>
          <w:sz w:val="22"/>
          <w:szCs w:val="22"/>
        </w:rPr>
        <w:t xml:space="preserve">Start with Direction 1 immediately. We can have it in front of learners within days. Run it for one or two cohorts and collect the session summaries manually. Use what we learn to build Direction 2 with confidence, knowing exactly what the report needs to contain and how students actually use the tool. Direction 3 is the right long-term play, but we should not build it until Direction 2 proves the concept.</w:t>
      </w:r>
    </w:p>
    <w:p>
      <w:pPr>
        <w:spacing w:after="200" w:line="276" w:lineRule="auto"/>
      </w:pPr>
      <w:r>
        <w:rPr>
          <w:rFonts w:ascii="Helvetica Neue" w:cs="Helvetica Neue" w:eastAsia="Helvetica Neue" w:hAnsi="Helvetica Neue"/>
          <w:color w:val="000000"/>
          <w:sz w:val="22"/>
          <w:szCs w:val="22"/>
        </w:rPr>
        <w:t xml:space="preserve">I have a design document, a full landscape analysis, and the drafted system prompt ready to share. Happy to walk through any of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c3732" w:sz="4" w:space="4"/>
      </w:pBdr>
    </w:pPr>
    <w:r>
      <w:rPr>
        <w:rFonts w:ascii="Helvetica Neue" w:cs="Helvetica Neue" w:eastAsia="Helvetica Neue" w:hAnsi="Helvetica Neue"/>
        <w:color w:val="3c3732"/>
        <w:sz w:val="14"/>
        <w:szCs w:val="14"/>
      </w:rPr>
      <w:t xml:space="preserve">©2026 Minerva Project, Inc.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c3732" w:sz="4" w:space="4"/>
      </w:pBdr>
    </w:pPr>
    <w:r>
      <w:rPr>
        <w:rFonts w:ascii="Helvetica Neue" w:cs="Helvetica Neue" w:eastAsia="Helvetica Neue" w:hAnsi="Helvetica Neue"/>
        <w:b/>
        <w:bCs/>
        <w:color w:val="3c3732"/>
        <w:sz w:val="14"/>
        <w:szCs w:val="14"/>
      </w:rPr>
      <w:t xml:space="preserve">Minerva Project</w:t>
    </w:r>
    <w:r>
      <w:rPr>
        <w:rFonts w:ascii="Helvetica Neue" w:cs="Helvetica Neue" w:eastAsia="Helvetica Neue" w:hAnsi="Helvetica Neue"/>
        <w:color w:val="3c3732"/>
        <w:sz w:val="14"/>
        <w:szCs w:val="14"/>
      </w:rPr>
      <w:t xml:space="preserve">    |    </w:t>
    </w:r>
    <w:r>
      <w:rPr>
        <w:rFonts w:ascii="Helvetica Neue" w:cs="Helvetica Neue" w:eastAsia="Helvetica Neue" w:hAnsi="Helvetica Neue"/>
        <w:color w:val="3c3732"/>
        <w:sz w:val="14"/>
        <w:szCs w:val="14"/>
      </w:rPr>
      <w:t xml:space="preserve">Professional Learning</w:t>
    </w:r>
    <w:r>
      <w:rPr>
        <w:rFonts w:ascii="Helvetica Neue" w:cs="Helvetica Neue" w:eastAsia="Helvetica Neue" w:hAnsi="Helvetica Neue"/>
        <w:color w:val="3c3732"/>
        <w:sz w:val="14"/>
        <w:szCs w:val="14"/>
      </w:rPr>
      <w:t xml:space="preserve">    |    </w:t>
    </w:r>
    <w:r>
      <w:rPr>
        <w:rFonts w:ascii="Helvetica Neue" w:cs="Helvetica Neue" w:eastAsia="Helvetica Neue" w:hAnsi="Helvetica Neue"/>
        <w:color w:val="3c3732"/>
        <w:sz w:val="14"/>
        <w:szCs w:val="14"/>
      </w:rPr>
      <w:t xml:space="preserve">April 2026</w:t>
    </w:r>
    <w:r>
      <w:rPr>
        <w:rFonts w:ascii="Helvetica Neue" w:cs="Helvetica Neue" w:eastAsia="Helvetica Neue" w:hAnsi="Helvetica Neue"/>
        <w:color w:val="3c3732"/>
        <w:sz w:val="14"/>
        <w:szCs w:val="14"/>
      </w:rPr>
      <w:t xml:space="preserve">    |    </w:t>
    </w:r>
    <w:r>
      <w:rPr>
        <w:rFonts w:ascii="Helvetica Neue" w:cs="Helvetica Neue" w:eastAsia="Helvetica Neue" w:hAnsi="Helvetica Neue"/>
        <w:b/>
        <w:bCs/>
        <w:color w:val="3c3732"/>
        <w:sz w:val="14"/>
        <w:szCs w:val="14"/>
      </w:rPr>
      <w:t xml:space="preserve">Internal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keepLines/>
      <w:spacing w:after="200" w:before="0"/>
    </w:pPr>
    <w:rPr>
      <w:rFonts w:ascii="Helvetica Neue Light" w:cs="Helvetica Neue Light" w:eastAsia="Helvetica Neue Light" w:hAnsi="Helvetica Neue Light"/>
      <w:color w:val="df2f26"/>
      <w:sz w:val="56"/>
      <w:szCs w:val="56"/>
    </w:rPr>
  </w:style>
  <w:style w:type="paragraph" w:styleId="Subtitle">
    <w:name w:val="Subtitle"/>
    <w:basedOn w:val="Normal"/>
    <w:next w:val="Normal"/>
    <w:pPr>
      <w:keepNext/>
      <w:keepLines/>
      <w:spacing w:after="200" w:before="0"/>
    </w:pPr>
    <w:rPr>
      <w:rFonts w:ascii="Helvetica Neue Light" w:cs="Helvetica Neue Light" w:eastAsia="Helvetica Neue Light" w:hAnsi="Helvetica Neue Light"/>
      <w:color w:val="3c3732"/>
      <w:sz w:val="42"/>
      <w:szCs w:val="42"/>
    </w:rPr>
  </w:style>
  <w:style w:type="paragraph" w:styleId="Heading1">
    <w:name w:val="Heading 1"/>
    <w:basedOn w:val="Normal"/>
    <w:next w:val="Normal"/>
    <w:qFormat/>
    <w:pPr>
      <w:keepNext/>
      <w:keepLines/>
      <w:spacing w:after="200" w:before="0" w:line="240" w:lineRule="auto"/>
      <w:outlineLvl w:val="0"/>
    </w:pPr>
    <w:rPr>
      <w:rFonts w:ascii="Helvetica Neue Light" w:cs="Helvetica Neue Light" w:eastAsia="Helvetica Neue Light" w:hAnsi="Helvetica Neue Light"/>
      <w:color w:val="df2f26"/>
      <w:sz w:val="42"/>
      <w:szCs w:val="42"/>
    </w:rPr>
  </w:style>
  <w:style w:type="paragraph" w:styleId="Heading2">
    <w:name w:val="Heading 2"/>
    <w:basedOn w:val="Normal"/>
    <w:next w:val="Normal"/>
    <w:qFormat/>
    <w:pPr>
      <w:keepNext/>
      <w:keepLines/>
      <w:spacing w:after="200" w:before="0" w:line="276" w:lineRule="auto"/>
      <w:outlineLvl w:val="1"/>
    </w:pPr>
    <w:rPr>
      <w:b/>
      <w:bCs/>
      <w:color w:val="3c3732"/>
      <w:sz w:val="28"/>
      <w:szCs w:val="28"/>
    </w:rPr>
  </w:style>
  <w:style w:type="paragraph" w:styleId="Heading3">
    <w:name w:val="Heading 3"/>
    <w:basedOn w:val="Normal"/>
    <w:next w:val="Normal"/>
    <w:qFormat/>
    <w:pPr>
      <w:keepNext/>
      <w:keepLines/>
      <w:spacing w:after="200" w:before="0" w:line="276" w:lineRule="auto"/>
      <w:outlineLvl w:val="2"/>
    </w:pPr>
    <w:rPr>
      <w:color w:val="df2f2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2026-04-08T08:17:50.552Z</dcterms:created>
  <dcterms:modified xsi:type="dcterms:W3CDTF">2026-04-08T08:17:50.552Z</dcterms:modified>
</cp:coreProperties>
</file>

<file path=docProps/custom.xml><?xml version="1.0" encoding="utf-8"?>
<Properties xmlns="http://schemas.openxmlformats.org/officeDocument/2006/custom-properties" xmlns:vt="http://schemas.openxmlformats.org/officeDocument/2006/docPropsVTypes"/>
</file>