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D7A7EB" w14:textId="5FDC7F8F" w:rsidR="008B3010" w:rsidRPr="007B1694" w:rsidRDefault="00A850D2" w:rsidP="007B1694">
      <w:pPr>
        <w:pStyle w:val="Default"/>
        <w:spacing w:after="120"/>
        <w:ind w:left="720" w:hanging="720"/>
        <w:jc w:val="center"/>
        <w:rPr>
          <w:rFonts w:ascii="Arial" w:hAnsi="Arial" w:cs="Arial"/>
          <w:color w:val="auto"/>
        </w:rPr>
      </w:pPr>
      <w:r w:rsidRPr="007B1694">
        <w:rPr>
          <w:rFonts w:ascii="Arial" w:hAnsi="Arial" w:cs="Arial"/>
          <w:color w:val="auto"/>
        </w:rPr>
        <w:t>References</w:t>
      </w:r>
    </w:p>
    <w:p w14:paraId="49CF0E5E" w14:textId="2BF3A1AB" w:rsidR="006A3285" w:rsidRPr="007B1694" w:rsidRDefault="008B3010" w:rsidP="007B1694">
      <w:pPr>
        <w:pStyle w:val="Default"/>
        <w:spacing w:after="120"/>
        <w:ind w:left="720" w:hanging="720"/>
        <w:rPr>
          <w:rFonts w:ascii="Arial" w:hAnsi="Arial" w:cs="Arial"/>
          <w:color w:val="0000FF"/>
        </w:rPr>
      </w:pPr>
      <w:r w:rsidRPr="007B1694">
        <w:rPr>
          <w:rFonts w:ascii="Arial" w:hAnsi="Arial" w:cs="Arial"/>
          <w:color w:val="auto"/>
        </w:rPr>
        <w:t xml:space="preserve">1. </w:t>
      </w:r>
      <w:r w:rsidR="00A850D2" w:rsidRPr="007B1694">
        <w:rPr>
          <w:rFonts w:ascii="Arial" w:hAnsi="Arial" w:cs="Arial"/>
          <w:color w:val="auto"/>
        </w:rPr>
        <w:t xml:space="preserve">Fisher, N. M., Gould, R. W., </w:t>
      </w:r>
      <w:proofErr w:type="spellStart"/>
      <w:r w:rsidR="00A850D2" w:rsidRPr="007B1694">
        <w:rPr>
          <w:rFonts w:ascii="Arial" w:hAnsi="Arial" w:cs="Arial"/>
          <w:color w:val="auto"/>
        </w:rPr>
        <w:t>Gogliotti</w:t>
      </w:r>
      <w:proofErr w:type="spellEnd"/>
      <w:r w:rsidR="00A850D2" w:rsidRPr="007B1694">
        <w:rPr>
          <w:rFonts w:ascii="Arial" w:hAnsi="Arial" w:cs="Arial"/>
          <w:color w:val="auto"/>
        </w:rPr>
        <w:t xml:space="preserve">, R. G., McDonald, A. J., </w:t>
      </w:r>
      <w:proofErr w:type="spellStart"/>
      <w:r w:rsidR="00A850D2" w:rsidRPr="007B1694">
        <w:rPr>
          <w:rFonts w:ascii="Arial" w:hAnsi="Arial" w:cs="Arial"/>
          <w:color w:val="auto"/>
        </w:rPr>
        <w:t>Badivuku</w:t>
      </w:r>
      <w:proofErr w:type="spellEnd"/>
      <w:r w:rsidR="00A850D2" w:rsidRPr="007B1694">
        <w:rPr>
          <w:rFonts w:ascii="Arial" w:hAnsi="Arial" w:cs="Arial"/>
          <w:color w:val="auto"/>
        </w:rPr>
        <w:t xml:space="preserve">, H., Chennareddy, S., Buch, A. B., Moore, A. M., Jenkins, M. T., Robb, W. H., Lindsley, C. W., Jones, C. K., Conn, P. J., &amp; Niswender, C. M. (2020). Phenotypic profiling of mGlu7 knockout mice reveals new implications for neurodevelopmental disorders. </w:t>
      </w:r>
      <w:r w:rsidR="00A850D2" w:rsidRPr="007B1694">
        <w:rPr>
          <w:rFonts w:ascii="Arial" w:hAnsi="Arial" w:cs="Arial"/>
          <w:i/>
          <w:iCs/>
          <w:color w:val="auto"/>
        </w:rPr>
        <w:t>Genes, Brain and Behavior</w:t>
      </w:r>
      <w:r w:rsidR="00A850D2" w:rsidRPr="007B1694">
        <w:rPr>
          <w:rFonts w:ascii="Arial" w:hAnsi="Arial" w:cs="Arial"/>
          <w:color w:val="auto"/>
        </w:rPr>
        <w:t xml:space="preserve">, </w:t>
      </w:r>
      <w:r w:rsidR="00A850D2" w:rsidRPr="007B1694">
        <w:rPr>
          <w:rFonts w:ascii="Arial" w:hAnsi="Arial" w:cs="Arial"/>
          <w:i/>
          <w:iCs/>
          <w:color w:val="auto"/>
        </w:rPr>
        <w:t>19</w:t>
      </w:r>
      <w:r w:rsidR="00A850D2" w:rsidRPr="007B1694">
        <w:rPr>
          <w:rFonts w:ascii="Arial" w:hAnsi="Arial" w:cs="Arial"/>
          <w:color w:val="auto"/>
        </w:rPr>
        <w:t xml:space="preserve">(7), e12654. </w:t>
      </w:r>
      <w:r w:rsidR="00A850D2" w:rsidRPr="007B1694">
        <w:rPr>
          <w:rFonts w:ascii="Arial" w:hAnsi="Arial" w:cs="Arial"/>
          <w:color w:val="0000FF"/>
        </w:rPr>
        <w:t xml:space="preserve">https://doi.org/10.1111/gbb.12654 </w:t>
      </w:r>
    </w:p>
    <w:p w14:paraId="5AEADAE7" w14:textId="6920D761" w:rsidR="006A3285" w:rsidRPr="007B1694" w:rsidRDefault="008B3010" w:rsidP="007B1694">
      <w:pPr>
        <w:pStyle w:val="Default"/>
        <w:spacing w:after="120"/>
        <w:ind w:left="720" w:hanging="720"/>
        <w:rPr>
          <w:rFonts w:ascii="Arial" w:hAnsi="Arial" w:cs="Arial"/>
          <w:color w:val="0000FF"/>
        </w:rPr>
      </w:pPr>
      <w:r w:rsidRPr="007B1694">
        <w:rPr>
          <w:rFonts w:ascii="Arial" w:hAnsi="Arial" w:cs="Arial"/>
        </w:rPr>
        <w:t>2.</w:t>
      </w:r>
      <w:r w:rsidR="00A850D2" w:rsidRPr="007B1694">
        <w:rPr>
          <w:rFonts w:ascii="Arial" w:hAnsi="Arial" w:cs="Arial"/>
        </w:rPr>
        <w:t xml:space="preserve">Niswender, C. M., &amp; Conn, P. J. (2010). Metabotropic Glutamate Receptors: Physiology, Pharmacology, and Disease. </w:t>
      </w:r>
      <w:r w:rsidR="00A850D2" w:rsidRPr="007B1694">
        <w:rPr>
          <w:rFonts w:ascii="Arial" w:hAnsi="Arial" w:cs="Arial"/>
          <w:i/>
          <w:iCs/>
        </w:rPr>
        <w:t>Annual Review of Pharmacology and Toxicology</w:t>
      </w:r>
      <w:r w:rsidR="00A850D2" w:rsidRPr="007B1694">
        <w:rPr>
          <w:rFonts w:ascii="Arial" w:hAnsi="Arial" w:cs="Arial"/>
        </w:rPr>
        <w:t xml:space="preserve">, </w:t>
      </w:r>
      <w:r w:rsidR="00A850D2" w:rsidRPr="007B1694">
        <w:rPr>
          <w:rFonts w:ascii="Arial" w:hAnsi="Arial" w:cs="Arial"/>
          <w:i/>
          <w:iCs/>
        </w:rPr>
        <w:t>50</w:t>
      </w:r>
      <w:r w:rsidR="00A850D2" w:rsidRPr="007B1694">
        <w:rPr>
          <w:rFonts w:ascii="Arial" w:hAnsi="Arial" w:cs="Arial"/>
        </w:rPr>
        <w:t xml:space="preserve">(Volume 50, 2010), 295–322. </w:t>
      </w:r>
      <w:r w:rsidR="00A850D2" w:rsidRPr="007B1694">
        <w:rPr>
          <w:rFonts w:ascii="Arial" w:hAnsi="Arial" w:cs="Arial"/>
          <w:color w:val="0000FF"/>
        </w:rPr>
        <w:t xml:space="preserve">https://doi.org/10.1146/annurev.pharmtox.011008.145533 </w:t>
      </w:r>
    </w:p>
    <w:p w14:paraId="659644B2" w14:textId="46F9683D" w:rsidR="008B3010" w:rsidRPr="007B1694" w:rsidRDefault="008B3010" w:rsidP="007B1694">
      <w:pPr>
        <w:pStyle w:val="Default"/>
        <w:spacing w:after="120"/>
        <w:ind w:left="720" w:hanging="720"/>
        <w:rPr>
          <w:rFonts w:ascii="Arial" w:hAnsi="Arial" w:cs="Arial"/>
          <w:color w:val="0000FF"/>
        </w:rPr>
      </w:pPr>
      <w:r w:rsidRPr="007B1694">
        <w:rPr>
          <w:rFonts w:ascii="Arial" w:hAnsi="Arial" w:cs="Arial"/>
        </w:rPr>
        <w:t>3.</w:t>
      </w:r>
      <w:r w:rsidR="00A850D2" w:rsidRPr="007B1694">
        <w:rPr>
          <w:rFonts w:ascii="Arial" w:hAnsi="Arial" w:cs="Arial"/>
        </w:rPr>
        <w:t xml:space="preserve">Noroozi, R., Taheri, M., </w:t>
      </w:r>
      <w:proofErr w:type="spellStart"/>
      <w:r w:rsidR="00A850D2" w:rsidRPr="007B1694">
        <w:rPr>
          <w:rFonts w:ascii="Arial" w:hAnsi="Arial" w:cs="Arial"/>
        </w:rPr>
        <w:t>Movafagh</w:t>
      </w:r>
      <w:proofErr w:type="spellEnd"/>
      <w:r w:rsidR="00A850D2" w:rsidRPr="007B1694">
        <w:rPr>
          <w:rFonts w:ascii="Arial" w:hAnsi="Arial" w:cs="Arial"/>
        </w:rPr>
        <w:t xml:space="preserve">, A., </w:t>
      </w:r>
      <w:proofErr w:type="spellStart"/>
      <w:r w:rsidR="00A850D2" w:rsidRPr="007B1694">
        <w:rPr>
          <w:rFonts w:ascii="Arial" w:hAnsi="Arial" w:cs="Arial"/>
        </w:rPr>
        <w:t>Mirfakhraie</w:t>
      </w:r>
      <w:proofErr w:type="spellEnd"/>
      <w:r w:rsidR="00A850D2" w:rsidRPr="007B1694">
        <w:rPr>
          <w:rFonts w:ascii="Arial" w:hAnsi="Arial" w:cs="Arial"/>
        </w:rPr>
        <w:t xml:space="preserve">, R., </w:t>
      </w:r>
      <w:proofErr w:type="spellStart"/>
      <w:r w:rsidR="00A850D2" w:rsidRPr="007B1694">
        <w:rPr>
          <w:rFonts w:ascii="Arial" w:hAnsi="Arial" w:cs="Arial"/>
        </w:rPr>
        <w:t>Solgi</w:t>
      </w:r>
      <w:proofErr w:type="spellEnd"/>
      <w:r w:rsidR="00A850D2" w:rsidRPr="007B1694">
        <w:rPr>
          <w:rFonts w:ascii="Arial" w:hAnsi="Arial" w:cs="Arial"/>
        </w:rPr>
        <w:t xml:space="preserve">, G., Sayad, A., </w:t>
      </w:r>
      <w:proofErr w:type="spellStart"/>
      <w:r w:rsidR="00A850D2" w:rsidRPr="007B1694">
        <w:rPr>
          <w:rFonts w:ascii="Arial" w:hAnsi="Arial" w:cs="Arial"/>
        </w:rPr>
        <w:t>Mazdeh</w:t>
      </w:r>
      <w:proofErr w:type="spellEnd"/>
      <w:r w:rsidR="00A850D2" w:rsidRPr="007B1694">
        <w:rPr>
          <w:rFonts w:ascii="Arial" w:hAnsi="Arial" w:cs="Arial"/>
        </w:rPr>
        <w:t xml:space="preserve">, M., &amp; Darvish, H. (2016). Glutamate receptor, metabotropic 7 (GRM7) gene variations and susceptibility to autism: A case–control study. </w:t>
      </w:r>
      <w:r w:rsidR="00A850D2" w:rsidRPr="007B1694">
        <w:rPr>
          <w:rFonts w:ascii="Arial" w:hAnsi="Arial" w:cs="Arial"/>
          <w:i/>
          <w:iCs/>
        </w:rPr>
        <w:t>Autism Research</w:t>
      </w:r>
      <w:r w:rsidR="00A850D2" w:rsidRPr="007B1694">
        <w:rPr>
          <w:rFonts w:ascii="Arial" w:hAnsi="Arial" w:cs="Arial"/>
        </w:rPr>
        <w:t xml:space="preserve">, </w:t>
      </w:r>
      <w:r w:rsidR="00A850D2" w:rsidRPr="007B1694">
        <w:rPr>
          <w:rFonts w:ascii="Arial" w:hAnsi="Arial" w:cs="Arial"/>
          <w:i/>
          <w:iCs/>
        </w:rPr>
        <w:t>9</w:t>
      </w:r>
      <w:r w:rsidR="00A850D2" w:rsidRPr="007B1694">
        <w:rPr>
          <w:rFonts w:ascii="Arial" w:hAnsi="Arial" w:cs="Arial"/>
        </w:rPr>
        <w:t xml:space="preserve">(11), 1161–1168. </w:t>
      </w:r>
      <w:r w:rsidR="00A850D2" w:rsidRPr="007B1694">
        <w:rPr>
          <w:rFonts w:ascii="Arial" w:hAnsi="Arial" w:cs="Arial"/>
          <w:color w:val="0000FF"/>
        </w:rPr>
        <w:t xml:space="preserve">https://doi.org/10.1002/aur.1640 </w:t>
      </w:r>
    </w:p>
    <w:p w14:paraId="74626CFB" w14:textId="3E33C347" w:rsidR="008B3010" w:rsidRPr="007B1694" w:rsidRDefault="008B3010" w:rsidP="007B1694">
      <w:pPr>
        <w:spacing w:after="120" w:line="240" w:lineRule="auto"/>
        <w:ind w:left="720" w:hanging="720"/>
        <w:rPr>
          <w:rFonts w:ascii="Arial" w:hAnsi="Arial" w:cs="Arial"/>
        </w:rPr>
      </w:pPr>
      <w:r w:rsidRPr="007B1694">
        <w:rPr>
          <w:rFonts w:ascii="Arial" w:hAnsi="Arial" w:cs="Arial"/>
        </w:rPr>
        <w:t>4.</w:t>
      </w:r>
      <w:r w:rsidR="00A850D2" w:rsidRPr="007B1694">
        <w:rPr>
          <w:rFonts w:ascii="Arial" w:hAnsi="Arial" w:cs="Arial"/>
        </w:rPr>
        <w:t xml:space="preserve">Noroozi, R., Taheri, M., Omrani, M. D., &amp; Ghafouri-Fard, S. (2019). Glutamate receptor metabotropic 7 (GRM7) gene polymorphisms in mood disorders and attention deficit hyperactive </w:t>
      </w:r>
      <w:proofErr w:type="gramStart"/>
      <w:r w:rsidR="00A850D2" w:rsidRPr="007B1694">
        <w:rPr>
          <w:rFonts w:ascii="Arial" w:hAnsi="Arial" w:cs="Arial"/>
        </w:rPr>
        <w:t>disorder</w:t>
      </w:r>
      <w:proofErr w:type="gramEnd"/>
      <w:r w:rsidR="00A850D2" w:rsidRPr="007B1694">
        <w:rPr>
          <w:rFonts w:ascii="Arial" w:hAnsi="Arial" w:cs="Arial"/>
        </w:rPr>
        <w:t xml:space="preserve">. </w:t>
      </w:r>
      <w:r w:rsidR="00A850D2" w:rsidRPr="007B1694">
        <w:rPr>
          <w:rFonts w:ascii="Arial" w:hAnsi="Arial" w:cs="Arial"/>
          <w:i/>
          <w:iCs/>
        </w:rPr>
        <w:t>Neurochemistry International</w:t>
      </w:r>
      <w:r w:rsidR="00A850D2" w:rsidRPr="007B1694">
        <w:rPr>
          <w:rFonts w:ascii="Arial" w:hAnsi="Arial" w:cs="Arial"/>
        </w:rPr>
        <w:t xml:space="preserve">, </w:t>
      </w:r>
      <w:r w:rsidR="00A850D2" w:rsidRPr="007B1694">
        <w:rPr>
          <w:rFonts w:ascii="Arial" w:hAnsi="Arial" w:cs="Arial"/>
          <w:i/>
          <w:iCs/>
        </w:rPr>
        <w:t>129</w:t>
      </w:r>
      <w:r w:rsidR="00A850D2" w:rsidRPr="007B1694">
        <w:rPr>
          <w:rFonts w:ascii="Arial" w:hAnsi="Arial" w:cs="Arial"/>
        </w:rPr>
        <w:t xml:space="preserve">, 104483. </w:t>
      </w:r>
      <w:hyperlink r:id="rId7" w:history="1">
        <w:r w:rsidR="006A3285" w:rsidRPr="007B1694">
          <w:rPr>
            <w:rStyle w:val="Hyperlink"/>
            <w:rFonts w:ascii="Arial" w:hAnsi="Arial" w:cs="Arial"/>
          </w:rPr>
          <w:t>https://doi.org/10.1016/j.neuint.2019.104483</w:t>
        </w:r>
      </w:hyperlink>
    </w:p>
    <w:p w14:paraId="6A911A82" w14:textId="7ABC922D" w:rsidR="006A3285" w:rsidRPr="007B1694" w:rsidRDefault="008B3010" w:rsidP="007B1694">
      <w:pPr>
        <w:spacing w:after="120" w:line="240" w:lineRule="auto"/>
        <w:ind w:left="720" w:hanging="720"/>
        <w:rPr>
          <w:rFonts w:ascii="Arial" w:hAnsi="Arial" w:cs="Arial"/>
        </w:rPr>
      </w:pPr>
      <w:r w:rsidRPr="007B1694">
        <w:rPr>
          <w:rFonts w:ascii="Arial" w:hAnsi="Arial" w:cs="Arial"/>
        </w:rPr>
        <w:t>5.</w:t>
      </w:r>
      <w:r w:rsidR="006A3285" w:rsidRPr="007B1694">
        <w:rPr>
          <w:rFonts w:ascii="Arial" w:hAnsi="Arial" w:cs="Arial"/>
        </w:rPr>
        <w:t xml:space="preserve">Masugi, M., Yokoi, M., Shigemoto, R., </w:t>
      </w:r>
      <w:proofErr w:type="spellStart"/>
      <w:r w:rsidR="006A3285" w:rsidRPr="007B1694">
        <w:rPr>
          <w:rFonts w:ascii="Arial" w:hAnsi="Arial" w:cs="Arial"/>
        </w:rPr>
        <w:t>Muguruma</w:t>
      </w:r>
      <w:proofErr w:type="spellEnd"/>
      <w:r w:rsidR="006A3285" w:rsidRPr="007B1694">
        <w:rPr>
          <w:rFonts w:ascii="Arial" w:hAnsi="Arial" w:cs="Arial"/>
        </w:rPr>
        <w:t xml:space="preserve">, K., Watanabe, Y., </w:t>
      </w:r>
      <w:proofErr w:type="spellStart"/>
      <w:r w:rsidR="006A3285" w:rsidRPr="007B1694">
        <w:rPr>
          <w:rFonts w:ascii="Arial" w:hAnsi="Arial" w:cs="Arial"/>
        </w:rPr>
        <w:t>Sansig</w:t>
      </w:r>
      <w:proofErr w:type="spellEnd"/>
      <w:r w:rsidR="006A3285" w:rsidRPr="007B1694">
        <w:rPr>
          <w:rFonts w:ascii="Arial" w:hAnsi="Arial" w:cs="Arial"/>
        </w:rPr>
        <w:t xml:space="preserve">, G., Putten, H. van der, &amp; Nakanishi, S. (1999). Metabotropic Glutamate Receptor Subtype 7 Ablation Causes Deficit in Fear Response and Conditioned Taste Aversion. </w:t>
      </w:r>
      <w:r w:rsidR="006A3285" w:rsidRPr="007B1694">
        <w:rPr>
          <w:rFonts w:ascii="Arial" w:hAnsi="Arial" w:cs="Arial"/>
          <w:i/>
          <w:iCs/>
        </w:rPr>
        <w:t>Journal of Neuroscience</w:t>
      </w:r>
      <w:r w:rsidR="006A3285" w:rsidRPr="007B1694">
        <w:rPr>
          <w:rFonts w:ascii="Arial" w:hAnsi="Arial" w:cs="Arial"/>
        </w:rPr>
        <w:t xml:space="preserve">, </w:t>
      </w:r>
      <w:r w:rsidR="006A3285" w:rsidRPr="007B1694">
        <w:rPr>
          <w:rFonts w:ascii="Arial" w:hAnsi="Arial" w:cs="Arial"/>
          <w:i/>
          <w:iCs/>
        </w:rPr>
        <w:t>19</w:t>
      </w:r>
      <w:r w:rsidR="006A3285" w:rsidRPr="007B1694">
        <w:rPr>
          <w:rFonts w:ascii="Arial" w:hAnsi="Arial" w:cs="Arial"/>
        </w:rPr>
        <w:t xml:space="preserve">(3), 955–963. </w:t>
      </w:r>
      <w:hyperlink r:id="rId8" w:history="1">
        <w:r w:rsidR="006A3285" w:rsidRPr="007B1694">
          <w:rPr>
            <w:rStyle w:val="Hyperlink"/>
            <w:rFonts w:ascii="Arial" w:hAnsi="Arial" w:cs="Arial"/>
          </w:rPr>
          <w:t>https://doi.org/10.1523/JNEUROSCI.19-03-00955.1999</w:t>
        </w:r>
      </w:hyperlink>
    </w:p>
    <w:p w14:paraId="15D53774" w14:textId="5FDF830F" w:rsidR="008B3010" w:rsidRPr="007B1694" w:rsidRDefault="008B3010" w:rsidP="007B1694">
      <w:pPr>
        <w:spacing w:after="120" w:line="240" w:lineRule="auto"/>
        <w:ind w:left="720" w:hanging="720"/>
        <w:rPr>
          <w:rFonts w:ascii="Arial" w:hAnsi="Arial" w:cs="Arial"/>
        </w:rPr>
      </w:pPr>
      <w:r w:rsidRPr="007B1694">
        <w:rPr>
          <w:rFonts w:ascii="Arial" w:hAnsi="Arial" w:cs="Arial"/>
        </w:rPr>
        <w:t xml:space="preserve">6.Bushell, T. J., </w:t>
      </w:r>
      <w:proofErr w:type="spellStart"/>
      <w:r w:rsidRPr="007B1694">
        <w:rPr>
          <w:rFonts w:ascii="Arial" w:hAnsi="Arial" w:cs="Arial"/>
        </w:rPr>
        <w:t>Sansig</w:t>
      </w:r>
      <w:proofErr w:type="spellEnd"/>
      <w:r w:rsidRPr="007B1694">
        <w:rPr>
          <w:rFonts w:ascii="Arial" w:hAnsi="Arial" w:cs="Arial"/>
        </w:rPr>
        <w:t xml:space="preserve">, G., Collett, V. J., van der Putten, H., &amp; </w:t>
      </w:r>
      <w:proofErr w:type="spellStart"/>
      <w:r w:rsidRPr="007B1694">
        <w:rPr>
          <w:rFonts w:ascii="Arial" w:hAnsi="Arial" w:cs="Arial"/>
        </w:rPr>
        <w:t>Collingridge</w:t>
      </w:r>
      <w:proofErr w:type="spellEnd"/>
      <w:r w:rsidRPr="007B1694">
        <w:rPr>
          <w:rFonts w:ascii="Arial" w:hAnsi="Arial" w:cs="Arial"/>
        </w:rPr>
        <w:t xml:space="preserve">, G. L. (2002). Altered Short-Term Synaptic Plasticity in Mice Lacking the Metabotropic Glutamate Receptor mGlu7. </w:t>
      </w:r>
      <w:r w:rsidRPr="007B1694">
        <w:rPr>
          <w:rFonts w:ascii="Arial" w:hAnsi="Arial" w:cs="Arial"/>
          <w:i/>
          <w:iCs/>
        </w:rPr>
        <w:t>The Scientific World Journal</w:t>
      </w:r>
      <w:r w:rsidRPr="007B1694">
        <w:rPr>
          <w:rFonts w:ascii="Arial" w:hAnsi="Arial" w:cs="Arial"/>
        </w:rPr>
        <w:t xml:space="preserve">, </w:t>
      </w:r>
      <w:r w:rsidRPr="007B1694">
        <w:rPr>
          <w:rFonts w:ascii="Arial" w:hAnsi="Arial" w:cs="Arial"/>
          <w:i/>
          <w:iCs/>
        </w:rPr>
        <w:t>2</w:t>
      </w:r>
      <w:r w:rsidRPr="007B1694">
        <w:rPr>
          <w:rFonts w:ascii="Arial" w:hAnsi="Arial" w:cs="Arial"/>
        </w:rPr>
        <w:t xml:space="preserve">(1), 176075. </w:t>
      </w:r>
      <w:hyperlink r:id="rId9" w:history="1">
        <w:r w:rsidRPr="007B1694">
          <w:rPr>
            <w:rStyle w:val="Hyperlink"/>
            <w:rFonts w:ascii="Arial" w:hAnsi="Arial" w:cs="Arial"/>
          </w:rPr>
          <w:t>https://doi.org/10.1100/tsw.2002.146</w:t>
        </w:r>
      </w:hyperlink>
    </w:p>
    <w:p w14:paraId="10418A4D" w14:textId="50D643F1" w:rsidR="008B3010" w:rsidRPr="007B1694" w:rsidRDefault="008B3010" w:rsidP="007B1694">
      <w:pPr>
        <w:spacing w:after="120" w:line="240" w:lineRule="auto"/>
        <w:ind w:left="720" w:hanging="720"/>
        <w:rPr>
          <w:rFonts w:ascii="Arial" w:eastAsia="Times New Roman" w:hAnsi="Arial" w:cs="Arial"/>
          <w:kern w:val="0"/>
          <w14:ligatures w14:val="none"/>
        </w:rPr>
      </w:pPr>
      <w:r w:rsidRPr="007B1694">
        <w:rPr>
          <w:rFonts w:ascii="Arial" w:eastAsia="Times New Roman" w:hAnsi="Arial" w:cs="Arial"/>
          <w:kern w:val="0"/>
          <w14:ligatures w14:val="none"/>
        </w:rPr>
        <w:t xml:space="preserve">7.Hölscher, C., Schmid, S., Pilz, P. K. D., </w:t>
      </w:r>
      <w:proofErr w:type="spellStart"/>
      <w:r w:rsidRPr="007B1694">
        <w:rPr>
          <w:rFonts w:ascii="Arial" w:eastAsia="Times New Roman" w:hAnsi="Arial" w:cs="Arial"/>
          <w:kern w:val="0"/>
          <w14:ligatures w14:val="none"/>
        </w:rPr>
        <w:t>Sansig</w:t>
      </w:r>
      <w:proofErr w:type="spellEnd"/>
      <w:r w:rsidRPr="007B1694">
        <w:rPr>
          <w:rFonts w:ascii="Arial" w:eastAsia="Times New Roman" w:hAnsi="Arial" w:cs="Arial"/>
          <w:kern w:val="0"/>
          <w14:ligatures w14:val="none"/>
        </w:rPr>
        <w:t xml:space="preserve">, G., van der Putten, H., &amp; Plappert, C. F. (2004). Lack of the metabotropic glutamate receptor subtype 7 selectively impairs short-term working memory but not long-term memory. </w:t>
      </w:r>
      <w:proofErr w:type="spellStart"/>
      <w:r w:rsidRPr="007B1694">
        <w:rPr>
          <w:rFonts w:ascii="Arial" w:eastAsia="Times New Roman" w:hAnsi="Arial" w:cs="Arial"/>
          <w:i/>
          <w:iCs/>
          <w:kern w:val="0"/>
          <w14:ligatures w14:val="none"/>
        </w:rPr>
        <w:t>Behavioural</w:t>
      </w:r>
      <w:proofErr w:type="spellEnd"/>
      <w:r w:rsidRPr="007B1694">
        <w:rPr>
          <w:rFonts w:ascii="Arial" w:eastAsia="Times New Roman" w:hAnsi="Arial" w:cs="Arial"/>
          <w:i/>
          <w:iCs/>
          <w:kern w:val="0"/>
          <w14:ligatures w14:val="none"/>
        </w:rPr>
        <w:t xml:space="preserve"> Brain Research</w:t>
      </w:r>
      <w:r w:rsidRPr="007B1694">
        <w:rPr>
          <w:rFonts w:ascii="Arial" w:eastAsia="Times New Roman" w:hAnsi="Arial" w:cs="Arial"/>
          <w:kern w:val="0"/>
          <w14:ligatures w14:val="none"/>
        </w:rPr>
        <w:t xml:space="preserve">, </w:t>
      </w:r>
      <w:r w:rsidRPr="007B1694">
        <w:rPr>
          <w:rFonts w:ascii="Arial" w:eastAsia="Times New Roman" w:hAnsi="Arial" w:cs="Arial"/>
          <w:i/>
          <w:iCs/>
          <w:kern w:val="0"/>
          <w14:ligatures w14:val="none"/>
        </w:rPr>
        <w:t>154</w:t>
      </w:r>
      <w:r w:rsidRPr="007B1694">
        <w:rPr>
          <w:rFonts w:ascii="Arial" w:eastAsia="Times New Roman" w:hAnsi="Arial" w:cs="Arial"/>
          <w:kern w:val="0"/>
          <w14:ligatures w14:val="none"/>
        </w:rPr>
        <w:t xml:space="preserve">(2), 473–481. </w:t>
      </w:r>
      <w:hyperlink r:id="rId10" w:history="1">
        <w:r w:rsidRPr="007B1694">
          <w:rPr>
            <w:rFonts w:ascii="Arial" w:eastAsia="Times New Roman" w:hAnsi="Arial" w:cs="Arial"/>
            <w:color w:val="0000FF"/>
            <w:kern w:val="0"/>
            <w:u w:val="single"/>
            <w14:ligatures w14:val="none"/>
          </w:rPr>
          <w:t>https://doi.org/10.1016/j.bbr.2004.03.015</w:t>
        </w:r>
      </w:hyperlink>
    </w:p>
    <w:p w14:paraId="0CA443F0" w14:textId="0829C341" w:rsidR="00B17716" w:rsidRPr="007B1694" w:rsidRDefault="008B3010" w:rsidP="007B1694">
      <w:pPr>
        <w:spacing w:after="120" w:line="240" w:lineRule="auto"/>
        <w:ind w:left="720" w:hanging="720"/>
        <w:rPr>
          <w:rFonts w:ascii="Arial" w:hAnsi="Arial" w:cs="Arial"/>
        </w:rPr>
      </w:pPr>
      <w:r w:rsidRPr="007B1694">
        <w:rPr>
          <w:rFonts w:ascii="Arial" w:hAnsi="Arial" w:cs="Arial"/>
        </w:rPr>
        <w:t xml:space="preserve">8.Hölscher, C., Schmid, S., Pilz, P. K. D., </w:t>
      </w:r>
      <w:proofErr w:type="spellStart"/>
      <w:r w:rsidRPr="007B1694">
        <w:rPr>
          <w:rFonts w:ascii="Arial" w:hAnsi="Arial" w:cs="Arial"/>
        </w:rPr>
        <w:t>Sansig</w:t>
      </w:r>
      <w:proofErr w:type="spellEnd"/>
      <w:r w:rsidRPr="007B1694">
        <w:rPr>
          <w:rFonts w:ascii="Arial" w:hAnsi="Arial" w:cs="Arial"/>
        </w:rPr>
        <w:t xml:space="preserve">, G., Putten, H. van der, &amp; Plappert, C. F. (2005). Lack of the metabotropic glutamate receptor subtype 7 selectively modulates Theta rhythm and working memory. </w:t>
      </w:r>
      <w:r w:rsidRPr="007B1694">
        <w:rPr>
          <w:rFonts w:ascii="Arial" w:hAnsi="Arial" w:cs="Arial"/>
          <w:i/>
          <w:iCs/>
        </w:rPr>
        <w:t>Learning &amp; Memory</w:t>
      </w:r>
      <w:r w:rsidRPr="007B1694">
        <w:rPr>
          <w:rFonts w:ascii="Arial" w:hAnsi="Arial" w:cs="Arial"/>
        </w:rPr>
        <w:t xml:space="preserve">, </w:t>
      </w:r>
      <w:r w:rsidRPr="007B1694">
        <w:rPr>
          <w:rFonts w:ascii="Arial" w:hAnsi="Arial" w:cs="Arial"/>
          <w:i/>
          <w:iCs/>
        </w:rPr>
        <w:t>12</w:t>
      </w:r>
      <w:r w:rsidRPr="007B1694">
        <w:rPr>
          <w:rFonts w:ascii="Arial" w:hAnsi="Arial" w:cs="Arial"/>
        </w:rPr>
        <w:t xml:space="preserve">(5), 450–455. </w:t>
      </w:r>
      <w:hyperlink r:id="rId11" w:history="1">
        <w:r w:rsidRPr="007B1694">
          <w:rPr>
            <w:rStyle w:val="Hyperlink"/>
            <w:rFonts w:ascii="Arial" w:hAnsi="Arial" w:cs="Arial"/>
          </w:rPr>
          <w:t>https://doi.org/10.1101/lm.98305</w:t>
        </w:r>
      </w:hyperlink>
    </w:p>
    <w:p w14:paraId="16742E90" w14:textId="77777777" w:rsidR="00D25354" w:rsidRPr="007B1694" w:rsidRDefault="00B17716" w:rsidP="007B1694">
      <w:pPr>
        <w:spacing w:after="120" w:line="240" w:lineRule="auto"/>
        <w:ind w:left="720" w:hanging="720"/>
        <w:rPr>
          <w:rFonts w:ascii="Arial" w:hAnsi="Arial" w:cs="Arial"/>
        </w:rPr>
      </w:pPr>
      <w:r w:rsidRPr="007B1694">
        <w:rPr>
          <w:rFonts w:ascii="Arial" w:hAnsi="Arial" w:cs="Arial"/>
        </w:rPr>
        <w:t xml:space="preserve">9. </w:t>
      </w:r>
      <w:r w:rsidR="00D25354" w:rsidRPr="007B1694">
        <w:rPr>
          <w:rFonts w:ascii="Arial" w:hAnsi="Arial" w:cs="Arial"/>
        </w:rPr>
        <w:t xml:space="preserve">Klingberg, T., Hedehus, M., Temple, E., Salz, T., Gabrieli, J. D. E., Moseley, M. E., &amp; Poldrack, R. A. (2000). Microstructure of Temporo-Parietal White Matter as a Basis for Reading Ability: Evidence from Diffusion Tensor Magnetic Resonance Imaging. </w:t>
      </w:r>
      <w:r w:rsidR="00D25354" w:rsidRPr="007B1694">
        <w:rPr>
          <w:rFonts w:ascii="Arial" w:hAnsi="Arial" w:cs="Arial"/>
          <w:i/>
          <w:iCs/>
        </w:rPr>
        <w:t>Neuron</w:t>
      </w:r>
      <w:r w:rsidR="00D25354" w:rsidRPr="007B1694">
        <w:rPr>
          <w:rFonts w:ascii="Arial" w:hAnsi="Arial" w:cs="Arial"/>
        </w:rPr>
        <w:t xml:space="preserve">, </w:t>
      </w:r>
      <w:r w:rsidR="00D25354" w:rsidRPr="007B1694">
        <w:rPr>
          <w:rFonts w:ascii="Arial" w:hAnsi="Arial" w:cs="Arial"/>
          <w:i/>
          <w:iCs/>
        </w:rPr>
        <w:t>25</w:t>
      </w:r>
      <w:r w:rsidR="00D25354" w:rsidRPr="007B1694">
        <w:rPr>
          <w:rFonts w:ascii="Arial" w:hAnsi="Arial" w:cs="Arial"/>
        </w:rPr>
        <w:t xml:space="preserve">(2), 493–500. </w:t>
      </w:r>
      <w:hyperlink r:id="rId12" w:history="1">
        <w:r w:rsidR="00D25354" w:rsidRPr="007B1694">
          <w:rPr>
            <w:rStyle w:val="Hyperlink"/>
            <w:rFonts w:ascii="Arial" w:hAnsi="Arial" w:cs="Arial"/>
          </w:rPr>
          <w:t>https://doi.org/10.1016/S0896-6273(00)80911-3</w:t>
        </w:r>
      </w:hyperlink>
    </w:p>
    <w:p w14:paraId="2D15D54C" w14:textId="77777777" w:rsidR="005D3DE8" w:rsidRPr="007B1694" w:rsidRDefault="00D25354" w:rsidP="007B1694">
      <w:pPr>
        <w:spacing w:after="120" w:line="240" w:lineRule="auto"/>
        <w:ind w:left="720" w:hanging="720"/>
        <w:rPr>
          <w:rFonts w:ascii="Arial" w:hAnsi="Arial" w:cs="Arial"/>
        </w:rPr>
      </w:pPr>
      <w:r w:rsidRPr="007B1694">
        <w:rPr>
          <w:rFonts w:ascii="Arial" w:hAnsi="Arial" w:cs="Arial"/>
        </w:rPr>
        <w:lastRenderedPageBreak/>
        <w:t xml:space="preserve">10. </w:t>
      </w:r>
      <w:r w:rsidR="005D3DE8" w:rsidRPr="007B1694">
        <w:rPr>
          <w:rFonts w:ascii="Arial" w:hAnsi="Arial" w:cs="Arial"/>
        </w:rPr>
        <w:t xml:space="preserve">Carter, J. C., Lanham, D. C., Cutting, L. E., Clements-Stephens, A. M., Chen, X., </w:t>
      </w:r>
      <w:proofErr w:type="spellStart"/>
      <w:r w:rsidR="005D3DE8" w:rsidRPr="007B1694">
        <w:rPr>
          <w:rFonts w:ascii="Arial" w:hAnsi="Arial" w:cs="Arial"/>
        </w:rPr>
        <w:t>Hadzipasic</w:t>
      </w:r>
      <w:proofErr w:type="spellEnd"/>
      <w:r w:rsidR="005D3DE8" w:rsidRPr="007B1694">
        <w:rPr>
          <w:rFonts w:ascii="Arial" w:hAnsi="Arial" w:cs="Arial"/>
        </w:rPr>
        <w:t xml:space="preserve">, M., Kim, J., </w:t>
      </w:r>
      <w:proofErr w:type="spellStart"/>
      <w:r w:rsidR="005D3DE8" w:rsidRPr="007B1694">
        <w:rPr>
          <w:rFonts w:ascii="Arial" w:hAnsi="Arial" w:cs="Arial"/>
        </w:rPr>
        <w:t>Denckla</w:t>
      </w:r>
      <w:proofErr w:type="spellEnd"/>
      <w:r w:rsidR="005D3DE8" w:rsidRPr="007B1694">
        <w:rPr>
          <w:rFonts w:ascii="Arial" w:hAnsi="Arial" w:cs="Arial"/>
        </w:rPr>
        <w:t xml:space="preserve">, M. B., &amp; Kaufmann, W. E. (2009). A dual DTI approach to analyzing white matter in children with dyslexia. </w:t>
      </w:r>
      <w:r w:rsidR="005D3DE8" w:rsidRPr="007B1694">
        <w:rPr>
          <w:rFonts w:ascii="Arial" w:hAnsi="Arial" w:cs="Arial"/>
          <w:i/>
          <w:iCs/>
        </w:rPr>
        <w:t>Psychiatry Research: Neuroimaging</w:t>
      </w:r>
      <w:r w:rsidR="005D3DE8" w:rsidRPr="007B1694">
        <w:rPr>
          <w:rFonts w:ascii="Arial" w:hAnsi="Arial" w:cs="Arial"/>
        </w:rPr>
        <w:t xml:space="preserve">, </w:t>
      </w:r>
      <w:r w:rsidR="005D3DE8" w:rsidRPr="007B1694">
        <w:rPr>
          <w:rFonts w:ascii="Arial" w:hAnsi="Arial" w:cs="Arial"/>
          <w:i/>
          <w:iCs/>
        </w:rPr>
        <w:t>172</w:t>
      </w:r>
      <w:r w:rsidR="005D3DE8" w:rsidRPr="007B1694">
        <w:rPr>
          <w:rFonts w:ascii="Arial" w:hAnsi="Arial" w:cs="Arial"/>
        </w:rPr>
        <w:t xml:space="preserve">(3), 215–219. </w:t>
      </w:r>
      <w:hyperlink r:id="rId13" w:history="1">
        <w:r w:rsidR="005D3DE8" w:rsidRPr="007B1694">
          <w:rPr>
            <w:rStyle w:val="Hyperlink"/>
            <w:rFonts w:ascii="Arial" w:hAnsi="Arial" w:cs="Arial"/>
          </w:rPr>
          <w:t>https://doi.org/10.1016/j.pscychresns.2008.09.005</w:t>
        </w:r>
      </w:hyperlink>
    </w:p>
    <w:p w14:paraId="4A9CE4FD" w14:textId="77777777" w:rsidR="007B1694" w:rsidRPr="007B1694" w:rsidRDefault="007B1694" w:rsidP="007B1694">
      <w:pPr>
        <w:spacing w:after="120" w:line="240" w:lineRule="auto"/>
        <w:ind w:left="720" w:hanging="720"/>
        <w:rPr>
          <w:rFonts w:ascii="Arial" w:hAnsi="Arial" w:cs="Arial"/>
        </w:rPr>
      </w:pPr>
      <w:r w:rsidRPr="007B1694">
        <w:rPr>
          <w:rFonts w:ascii="Arial" w:hAnsi="Arial" w:cs="Arial"/>
        </w:rPr>
        <w:t xml:space="preserve">11. </w:t>
      </w:r>
      <w:r w:rsidRPr="007B1694">
        <w:rPr>
          <w:rFonts w:ascii="Arial" w:hAnsi="Arial" w:cs="Arial"/>
        </w:rPr>
        <w:t xml:space="preserve">Farah, R., </w:t>
      </w:r>
      <w:proofErr w:type="spellStart"/>
      <w:r w:rsidRPr="007B1694">
        <w:rPr>
          <w:rFonts w:ascii="Arial" w:hAnsi="Arial" w:cs="Arial"/>
        </w:rPr>
        <w:t>Glukhovsky</w:t>
      </w:r>
      <w:proofErr w:type="spellEnd"/>
      <w:r w:rsidRPr="007B1694">
        <w:rPr>
          <w:rFonts w:ascii="Arial" w:hAnsi="Arial" w:cs="Arial"/>
        </w:rPr>
        <w:t xml:space="preserve">, N., Rosch, K., &amp; Horowitz-Kraus, T. (2022). Structural white matter characteristics for working memory and switching/inhibition in children with reading difficulties: The role of the left superior longitudinal fasciculus. </w:t>
      </w:r>
      <w:r w:rsidRPr="007B1694">
        <w:rPr>
          <w:rFonts w:ascii="Arial" w:hAnsi="Arial" w:cs="Arial"/>
          <w:i/>
          <w:iCs/>
        </w:rPr>
        <w:t>Network Neuroscience</w:t>
      </w:r>
      <w:r w:rsidRPr="007B1694">
        <w:rPr>
          <w:rFonts w:ascii="Arial" w:hAnsi="Arial" w:cs="Arial"/>
        </w:rPr>
        <w:t xml:space="preserve">, </w:t>
      </w:r>
      <w:r w:rsidRPr="007B1694">
        <w:rPr>
          <w:rFonts w:ascii="Arial" w:hAnsi="Arial" w:cs="Arial"/>
          <w:i/>
          <w:iCs/>
        </w:rPr>
        <w:t>6</w:t>
      </w:r>
      <w:r w:rsidRPr="007B1694">
        <w:rPr>
          <w:rFonts w:ascii="Arial" w:hAnsi="Arial" w:cs="Arial"/>
        </w:rPr>
        <w:t xml:space="preserve">(3), 897–915. </w:t>
      </w:r>
      <w:hyperlink r:id="rId14" w:history="1">
        <w:r w:rsidRPr="007B1694">
          <w:rPr>
            <w:rStyle w:val="Hyperlink"/>
            <w:rFonts w:ascii="Arial" w:hAnsi="Arial" w:cs="Arial"/>
          </w:rPr>
          <w:t>https://doi.org/10.1162/netn_a_00257</w:t>
        </w:r>
      </w:hyperlink>
    </w:p>
    <w:p w14:paraId="49F0003F" w14:textId="51476C7B" w:rsidR="00B17716" w:rsidRPr="007B1694" w:rsidRDefault="00B17716" w:rsidP="007B1694">
      <w:pPr>
        <w:spacing w:after="120" w:line="240" w:lineRule="auto"/>
        <w:ind w:hanging="720"/>
        <w:rPr>
          <w:rFonts w:ascii="Arial" w:hAnsi="Arial" w:cs="Arial"/>
        </w:rPr>
      </w:pPr>
    </w:p>
    <w:p w14:paraId="5F460ACF" w14:textId="77777777" w:rsidR="00E3520D" w:rsidRPr="007B1694" w:rsidRDefault="00E3520D" w:rsidP="007B1694">
      <w:pPr>
        <w:spacing w:after="120" w:line="240" w:lineRule="auto"/>
        <w:ind w:left="360" w:hanging="720"/>
        <w:rPr>
          <w:rFonts w:ascii="Arial" w:hAnsi="Arial" w:cs="Arial"/>
        </w:rPr>
      </w:pPr>
    </w:p>
    <w:sectPr w:rsidR="00E3520D" w:rsidRPr="007B1694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DA2441" w14:textId="77777777" w:rsidR="00A850D2" w:rsidRDefault="00A850D2" w:rsidP="00A850D2">
      <w:pPr>
        <w:spacing w:after="0" w:line="240" w:lineRule="auto"/>
      </w:pPr>
      <w:r>
        <w:separator/>
      </w:r>
    </w:p>
  </w:endnote>
  <w:endnote w:type="continuationSeparator" w:id="0">
    <w:p w14:paraId="2E41927B" w14:textId="77777777" w:rsidR="00A850D2" w:rsidRDefault="00A850D2" w:rsidP="00A850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5AA354" w14:textId="77777777" w:rsidR="00A850D2" w:rsidRDefault="00A850D2" w:rsidP="00A850D2">
      <w:pPr>
        <w:spacing w:after="0" w:line="240" w:lineRule="auto"/>
      </w:pPr>
      <w:r>
        <w:separator/>
      </w:r>
    </w:p>
  </w:footnote>
  <w:footnote w:type="continuationSeparator" w:id="0">
    <w:p w14:paraId="436A84E9" w14:textId="77777777" w:rsidR="00A850D2" w:rsidRDefault="00A850D2" w:rsidP="00A850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E7AE9F" w14:textId="77777777" w:rsidR="00B17716" w:rsidRPr="00B17716" w:rsidRDefault="00B17716" w:rsidP="00B17716">
    <w:pPr>
      <w:pStyle w:val="Default"/>
      <w:ind w:left="360"/>
      <w:rPr>
        <w:rFonts w:ascii="Arial" w:hAnsi="Arial" w:cs="Arial"/>
        <w:b/>
        <w:bCs/>
        <w:sz w:val="23"/>
        <w:szCs w:val="23"/>
      </w:rPr>
    </w:pPr>
    <w:r w:rsidRPr="00B17716">
      <w:rPr>
        <w:rFonts w:ascii="Arial" w:hAnsi="Arial" w:cs="Arial"/>
        <w:b/>
        <w:bCs/>
        <w:i/>
        <w:iCs/>
        <w:sz w:val="23"/>
        <w:szCs w:val="23"/>
      </w:rPr>
      <w:t>GRM7</w:t>
    </w:r>
    <w:r w:rsidRPr="00B17716">
      <w:rPr>
        <w:rFonts w:ascii="Arial" w:hAnsi="Arial" w:cs="Arial"/>
        <w:b/>
        <w:bCs/>
        <w:sz w:val="23"/>
        <w:szCs w:val="23"/>
      </w:rPr>
      <w:t xml:space="preserve"> SNP </w:t>
    </w:r>
    <w:r w:rsidRPr="00B17716">
      <w:rPr>
        <w:rFonts w:ascii="Arial" w:hAnsi="Arial" w:cs="Arial"/>
        <w:b/>
        <w:bCs/>
        <w:i/>
        <w:iCs/>
        <w:sz w:val="23"/>
        <w:szCs w:val="23"/>
      </w:rPr>
      <w:t>rs779710</w:t>
    </w:r>
    <w:r w:rsidRPr="00B17716">
      <w:rPr>
        <w:rFonts w:ascii="Arial" w:hAnsi="Arial" w:cs="Arial"/>
        <w:b/>
        <w:bCs/>
        <w:sz w:val="23"/>
        <w:szCs w:val="23"/>
      </w:rPr>
      <w:t xml:space="preserve"> is linked to white matter integrity in the left SLF during middle childhood</w:t>
    </w:r>
  </w:p>
  <w:p w14:paraId="036957E1" w14:textId="701F72C3" w:rsidR="00A850D2" w:rsidRPr="00C52F16" w:rsidRDefault="00A850D2" w:rsidP="00A850D2">
    <w:pPr>
      <w:pStyle w:val="Default"/>
      <w:ind w:left="360"/>
      <w:rPr>
        <w:rFonts w:ascii="Arial" w:hAnsi="Arial" w:cs="Arial"/>
        <w:sz w:val="23"/>
        <w:szCs w:val="23"/>
      </w:rPr>
    </w:pPr>
    <w:r w:rsidRPr="00C52F16">
      <w:rPr>
        <w:rFonts w:ascii="Arial" w:hAnsi="Arial" w:cs="Arial"/>
        <w:sz w:val="23"/>
        <w:szCs w:val="23"/>
      </w:rPr>
      <w:t xml:space="preserve">Hughes-Berheim et al., </w:t>
    </w:r>
    <w:r w:rsidR="00B17716">
      <w:rPr>
        <w:rFonts w:ascii="Arial" w:hAnsi="Arial" w:cs="Arial"/>
        <w:sz w:val="23"/>
        <w:szCs w:val="23"/>
      </w:rPr>
      <w:t>Flux Congress</w:t>
    </w:r>
    <w:r w:rsidRPr="00C52F16">
      <w:rPr>
        <w:rFonts w:ascii="Arial" w:hAnsi="Arial" w:cs="Arial"/>
        <w:sz w:val="23"/>
        <w:szCs w:val="23"/>
      </w:rPr>
      <w:t xml:space="preserve"> 2025 </w:t>
    </w:r>
  </w:p>
  <w:p w14:paraId="03ABCD08" w14:textId="77777777" w:rsidR="00A850D2" w:rsidRDefault="00A850D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F57A5A"/>
    <w:multiLevelType w:val="hybridMultilevel"/>
    <w:tmpl w:val="30B6004C"/>
    <w:lvl w:ilvl="0" w:tplc="D038A38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768930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FEC884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C0A28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7563A9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BB87C4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52EE07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DFC269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6B0C2C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76F720BB"/>
    <w:multiLevelType w:val="hybridMultilevel"/>
    <w:tmpl w:val="48DCA9F8"/>
    <w:lvl w:ilvl="0" w:tplc="08785584">
      <w:start w:val="1"/>
      <w:numFmt w:val="upperLetter"/>
      <w:pStyle w:val="F32-Level2HeadingA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70883231">
    <w:abstractNumId w:val="1"/>
  </w:num>
  <w:num w:numId="2" w16cid:durableId="1160148977">
    <w:abstractNumId w:val="1"/>
  </w:num>
  <w:num w:numId="3" w16cid:durableId="12587137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0D2"/>
    <w:rsid w:val="000A2F41"/>
    <w:rsid w:val="003F0F0F"/>
    <w:rsid w:val="004D3C0F"/>
    <w:rsid w:val="005D3DE8"/>
    <w:rsid w:val="006039D4"/>
    <w:rsid w:val="006A3285"/>
    <w:rsid w:val="00703CFC"/>
    <w:rsid w:val="007B1694"/>
    <w:rsid w:val="008B3010"/>
    <w:rsid w:val="008E1DC2"/>
    <w:rsid w:val="00A850D2"/>
    <w:rsid w:val="00B17716"/>
    <w:rsid w:val="00C52F16"/>
    <w:rsid w:val="00C97C72"/>
    <w:rsid w:val="00D25354"/>
    <w:rsid w:val="00E3520D"/>
    <w:rsid w:val="00EC012B"/>
    <w:rsid w:val="00FC6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59147"/>
  <w15:chartTrackingRefBased/>
  <w15:docId w15:val="{527E7A66-6BBE-4C86-9175-3C0ED6C77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012B"/>
  </w:style>
  <w:style w:type="paragraph" w:styleId="Heading1">
    <w:name w:val="heading 1"/>
    <w:basedOn w:val="Normal"/>
    <w:next w:val="Normal"/>
    <w:link w:val="Heading1Char"/>
    <w:uiPriority w:val="9"/>
    <w:qFormat/>
    <w:rsid w:val="00A850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50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50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50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50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50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50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50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50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A">
    <w:name w:val="APA"/>
    <w:basedOn w:val="Normal"/>
    <w:link w:val="APAChar"/>
    <w:qFormat/>
    <w:rsid w:val="003F0F0F"/>
    <w:pPr>
      <w:spacing w:after="0" w:line="480" w:lineRule="auto"/>
    </w:pPr>
    <w:rPr>
      <w:rFonts w:ascii="Times New Roman" w:hAnsi="Times New Roman" w:cs="Times New Roman"/>
    </w:rPr>
  </w:style>
  <w:style w:type="character" w:customStyle="1" w:styleId="APAChar">
    <w:name w:val="APA Char"/>
    <w:basedOn w:val="DefaultParagraphFont"/>
    <w:link w:val="APA"/>
    <w:rsid w:val="003F0F0F"/>
    <w:rPr>
      <w:rFonts w:ascii="Times New Roman" w:hAnsi="Times New Roman" w:cs="Times New Roman"/>
      <w:sz w:val="24"/>
      <w:szCs w:val="24"/>
    </w:rPr>
  </w:style>
  <w:style w:type="paragraph" w:customStyle="1" w:styleId="F32-Level2HeadingA">
    <w:name w:val="F32 - Level 2 Heading (A)"/>
    <w:basedOn w:val="ListParagraph"/>
    <w:qFormat/>
    <w:rsid w:val="008E1DC2"/>
    <w:pPr>
      <w:numPr>
        <w:numId w:val="2"/>
      </w:numPr>
      <w:spacing w:after="0"/>
    </w:pPr>
    <w:rPr>
      <w:rFonts w:ascii="Arial" w:eastAsia="Arial" w:hAnsi="Arial" w:cs="Arial"/>
      <w:b/>
      <w:bCs/>
      <w:kern w:val="0"/>
      <w:sz w:val="22"/>
      <w:szCs w:val="22"/>
      <w:lang w:eastAsia="ja-JP"/>
      <w14:ligatures w14:val="none"/>
    </w:rPr>
  </w:style>
  <w:style w:type="paragraph" w:styleId="ListParagraph">
    <w:name w:val="List Paragraph"/>
    <w:basedOn w:val="Normal"/>
    <w:uiPriority w:val="34"/>
    <w:qFormat/>
    <w:rsid w:val="00EC012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850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50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50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50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50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50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50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50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50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50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50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50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50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50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50D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A850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50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50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50D2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A850D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</w:rPr>
  </w:style>
  <w:style w:type="paragraph" w:styleId="Header">
    <w:name w:val="header"/>
    <w:basedOn w:val="Normal"/>
    <w:link w:val="HeaderChar"/>
    <w:uiPriority w:val="99"/>
    <w:unhideWhenUsed/>
    <w:rsid w:val="00A850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50D2"/>
  </w:style>
  <w:style w:type="paragraph" w:styleId="Footer">
    <w:name w:val="footer"/>
    <w:basedOn w:val="Normal"/>
    <w:link w:val="FooterChar"/>
    <w:uiPriority w:val="99"/>
    <w:unhideWhenUsed/>
    <w:rsid w:val="00A850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50D2"/>
  </w:style>
  <w:style w:type="character" w:styleId="Hyperlink">
    <w:name w:val="Hyperlink"/>
    <w:basedOn w:val="DefaultParagraphFont"/>
    <w:uiPriority w:val="99"/>
    <w:unhideWhenUsed/>
    <w:rsid w:val="006A328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32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23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641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68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5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3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04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226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74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67230">
          <w:marLeft w:val="79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23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1688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523/JNEUROSCI.19-03-00955.1999" TargetMode="External"/><Relationship Id="rId13" Type="http://schemas.openxmlformats.org/officeDocument/2006/relationships/hyperlink" Target="https://doi.org/10.1016/j.pscychresns.2008.09.00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i.org/10.1016/j.neuint.2019.104483" TargetMode="External"/><Relationship Id="rId12" Type="http://schemas.openxmlformats.org/officeDocument/2006/relationships/hyperlink" Target="https://doi.org/10.1016/S0896-6273(00)80911-3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i.org/10.1101/lm.98305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doi.org/10.1016/j.bbr.2004.03.01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100/tsw.2002.146" TargetMode="External"/><Relationship Id="rId14" Type="http://schemas.openxmlformats.org/officeDocument/2006/relationships/hyperlink" Target="https://doi.org/10.1162/netn_a_0025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ba5a7f39-e3be-4ab3-b450-67fa80faecad}" enabled="0" method="" siteId="{ba5a7f39-e3be-4ab3-b450-67fa80faecad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578</Words>
  <Characters>3296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Hughes-Berheim, Sarah</dc:creator>
  <cp:keywords/>
  <dc:description/>
  <cp:lastModifiedBy>Hughes-Berheim, Sarah</cp:lastModifiedBy>
  <cp:revision>2</cp:revision>
  <dcterms:created xsi:type="dcterms:W3CDTF">2025-08-22T14:55:00Z</dcterms:created>
  <dcterms:modified xsi:type="dcterms:W3CDTF">2025-08-22T14:55:00Z</dcterms:modified>
</cp:coreProperties>
</file>