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CE2E5" w14:textId="77777777" w:rsidR="000A2F41" w:rsidRPr="008F702F" w:rsidRDefault="000A2F41" w:rsidP="008F702F">
      <w:pPr>
        <w:spacing w:after="0" w:line="240" w:lineRule="auto"/>
      </w:pPr>
    </w:p>
    <w:p w14:paraId="55B39F43" w14:textId="263A1DAB" w:rsidR="00F17F0F" w:rsidRPr="008F702F" w:rsidRDefault="00F17F0F" w:rsidP="008F702F">
      <w:pPr>
        <w:spacing w:after="0" w:line="240" w:lineRule="auto"/>
        <w:jc w:val="center"/>
      </w:pPr>
      <w:r w:rsidRPr="008F702F">
        <w:t>References</w:t>
      </w:r>
    </w:p>
    <w:p w14:paraId="5B881E0D" w14:textId="4B46A980" w:rsidR="00867088" w:rsidRDefault="008F702F" w:rsidP="008F702F">
      <w:pPr>
        <w:spacing w:after="0" w:line="240" w:lineRule="auto"/>
        <w:ind w:left="720" w:hanging="720"/>
        <w:rPr>
          <w:rFonts w:cs="Arial"/>
          <w:kern w:val="0"/>
          <w14:ligatures w14:val="none"/>
        </w:rPr>
      </w:pPr>
      <w:r>
        <w:rPr>
          <w:rFonts w:cs="Arial"/>
          <w:kern w:val="0"/>
          <w14:ligatures w14:val="none"/>
        </w:rPr>
        <w:t xml:space="preserve">1. </w:t>
      </w:r>
      <w:r w:rsidR="00867088" w:rsidRPr="008F702F">
        <w:rPr>
          <w:rFonts w:cs="Arial"/>
          <w:kern w:val="0"/>
          <w14:ligatures w14:val="none"/>
        </w:rPr>
        <w:t xml:space="preserve">Deutsch, G. K., Dougherty, R. F., Bammer, R., Siok, W. T., Gabrieli, J. D. E., &amp; Wandell, B. (2005). Children’s Reading Performance is Correlated with White Matter Structure Measured by Diffusion Tensor Imaging. </w:t>
      </w:r>
      <w:r w:rsidR="00867088" w:rsidRPr="008F702F">
        <w:rPr>
          <w:rFonts w:cs="Arial"/>
          <w:i/>
          <w:iCs/>
          <w:kern w:val="0"/>
          <w14:ligatures w14:val="none"/>
        </w:rPr>
        <w:t>Cortex</w:t>
      </w:r>
      <w:r w:rsidR="00867088" w:rsidRPr="008F702F">
        <w:rPr>
          <w:rFonts w:cs="Arial"/>
          <w:kern w:val="0"/>
          <w14:ligatures w14:val="none"/>
        </w:rPr>
        <w:t xml:space="preserve">, </w:t>
      </w:r>
      <w:r w:rsidR="00867088" w:rsidRPr="008F702F">
        <w:rPr>
          <w:rFonts w:cs="Arial"/>
          <w:i/>
          <w:iCs/>
          <w:kern w:val="0"/>
          <w14:ligatures w14:val="none"/>
        </w:rPr>
        <w:t>41</w:t>
      </w:r>
      <w:r w:rsidR="00867088" w:rsidRPr="008F702F">
        <w:rPr>
          <w:rFonts w:cs="Arial"/>
          <w:kern w:val="0"/>
          <w14:ligatures w14:val="none"/>
        </w:rPr>
        <w:t xml:space="preserve">(3), 354–363. </w:t>
      </w:r>
      <w:hyperlink r:id="rId7" w:history="1">
        <w:r w:rsidR="00867088" w:rsidRPr="008F702F">
          <w:rPr>
            <w:rStyle w:val="Hyperlink"/>
            <w:rFonts w:cs="Arial"/>
            <w:kern w:val="0"/>
            <w14:ligatures w14:val="none"/>
          </w:rPr>
          <w:t>https://doi.org/10.1016/S0010-9452(08)70272-7</w:t>
        </w:r>
      </w:hyperlink>
    </w:p>
    <w:p w14:paraId="0CC3B3B3" w14:textId="77777777" w:rsidR="008F702F" w:rsidRPr="008F702F" w:rsidRDefault="008F702F" w:rsidP="008F702F">
      <w:pPr>
        <w:spacing w:after="0" w:line="240" w:lineRule="auto"/>
        <w:ind w:left="720" w:hanging="720"/>
        <w:rPr>
          <w:rFonts w:cs="Arial"/>
          <w:kern w:val="0"/>
          <w14:ligatures w14:val="none"/>
        </w:rPr>
      </w:pPr>
    </w:p>
    <w:p w14:paraId="39EC82E8" w14:textId="42D40E6F" w:rsidR="00F17F0F" w:rsidRDefault="008F702F" w:rsidP="008F702F">
      <w:pPr>
        <w:spacing w:after="0" w:line="240" w:lineRule="auto"/>
        <w:ind w:left="720" w:hanging="720"/>
        <w:rPr>
          <w:kern w:val="0"/>
          <w14:ligatures w14:val="none"/>
        </w:rPr>
      </w:pPr>
      <w:r>
        <w:rPr>
          <w:rFonts w:cs="Arial"/>
          <w:kern w:val="0"/>
          <w14:ligatures w14:val="none"/>
        </w:rPr>
        <w:t>2.</w:t>
      </w:r>
      <w:r w:rsidR="00F17F0F" w:rsidRPr="008F702F">
        <w:rPr>
          <w:rFonts w:cs="Arial"/>
          <w:kern w:val="0"/>
          <w14:ligatures w14:val="none"/>
        </w:rPr>
        <w:t xml:space="preserve">Klingberg, T., Hedehus, M., Temple, E., Salz, T., Gabrieli, J. D. E., Moseley, M. E., &amp; Poldrack, R. A. (2000). Microstructure of Temporo-Parietal White Matter as a Basis for Reading Ability: Evidence from Diffusion Tensor Magnetic Resonance Imaging. </w:t>
      </w:r>
      <w:r w:rsidR="00F17F0F" w:rsidRPr="008F702F">
        <w:rPr>
          <w:rFonts w:cs="Arial"/>
          <w:i/>
          <w:iCs/>
          <w:kern w:val="0"/>
          <w14:ligatures w14:val="none"/>
        </w:rPr>
        <w:t>Neuron</w:t>
      </w:r>
      <w:r w:rsidR="00F17F0F" w:rsidRPr="008F702F">
        <w:rPr>
          <w:rFonts w:cs="Arial"/>
          <w:kern w:val="0"/>
          <w14:ligatures w14:val="none"/>
        </w:rPr>
        <w:t xml:space="preserve">, </w:t>
      </w:r>
      <w:r w:rsidR="00F17F0F" w:rsidRPr="008F702F">
        <w:rPr>
          <w:rFonts w:cs="Arial"/>
          <w:i/>
          <w:iCs/>
          <w:kern w:val="0"/>
          <w14:ligatures w14:val="none"/>
        </w:rPr>
        <w:t>25</w:t>
      </w:r>
      <w:r w:rsidR="00F17F0F" w:rsidRPr="008F702F">
        <w:rPr>
          <w:rFonts w:cs="Arial"/>
          <w:kern w:val="0"/>
          <w14:ligatures w14:val="none"/>
        </w:rPr>
        <w:t xml:space="preserve">(2), 493–500. </w:t>
      </w:r>
      <w:hyperlink r:id="rId8" w:history="1">
        <w:r w:rsidR="00F17F0F" w:rsidRPr="008F702F">
          <w:rPr>
            <w:rStyle w:val="Hyperlink"/>
            <w:rFonts w:cs="Arial"/>
            <w:kern w:val="0"/>
            <w14:ligatures w14:val="none"/>
          </w:rPr>
          <w:t>https://doi.org/10.1016/S0896-6273(00)80911-3</w:t>
        </w:r>
      </w:hyperlink>
    </w:p>
    <w:p w14:paraId="76D6C4CE" w14:textId="77777777" w:rsidR="008F702F" w:rsidRPr="008F702F" w:rsidRDefault="008F702F" w:rsidP="008F702F">
      <w:pPr>
        <w:spacing w:after="0" w:line="240" w:lineRule="auto"/>
        <w:ind w:left="720" w:hanging="720"/>
        <w:rPr>
          <w:kern w:val="0"/>
          <w14:ligatures w14:val="none"/>
        </w:rPr>
      </w:pPr>
    </w:p>
    <w:p w14:paraId="25BA2AF7" w14:textId="7EAFD1FC" w:rsidR="00867088" w:rsidRDefault="008F702F" w:rsidP="008F702F">
      <w:pPr>
        <w:spacing w:after="0" w:line="240" w:lineRule="auto"/>
        <w:ind w:left="720" w:hanging="720"/>
      </w:pPr>
      <w:r>
        <w:t>3.</w:t>
      </w:r>
      <w:r w:rsidR="00867088" w:rsidRPr="008F702F">
        <w:t xml:space="preserve">Yeatman, J. D., Dougherty, R. F., Ben-Shachar, M., &amp; Wandell, B. A. (2012). Development of white matter and reading skills. </w:t>
      </w:r>
      <w:r w:rsidR="00867088" w:rsidRPr="008F702F">
        <w:rPr>
          <w:i/>
          <w:iCs/>
        </w:rPr>
        <w:t>Proceedings of the National Academy of Sciences (PNAS)</w:t>
      </w:r>
      <w:r w:rsidR="00867088" w:rsidRPr="008F702F">
        <w:t xml:space="preserve">, </w:t>
      </w:r>
      <w:r w:rsidR="00867088" w:rsidRPr="008F702F">
        <w:rPr>
          <w:i/>
          <w:iCs/>
        </w:rPr>
        <w:t>109</w:t>
      </w:r>
      <w:r w:rsidR="00867088" w:rsidRPr="008F702F">
        <w:t>(44), E3045–E3053.</w:t>
      </w:r>
    </w:p>
    <w:p w14:paraId="14CB6B36" w14:textId="77777777" w:rsidR="008F702F" w:rsidRPr="008F702F" w:rsidRDefault="008F702F" w:rsidP="008F702F">
      <w:pPr>
        <w:spacing w:after="0" w:line="240" w:lineRule="auto"/>
        <w:ind w:left="720" w:hanging="720"/>
      </w:pPr>
    </w:p>
    <w:p w14:paraId="1F6FA7E4" w14:textId="65E454D6" w:rsidR="002C1F32" w:rsidRDefault="008F702F" w:rsidP="008F702F">
      <w:pPr>
        <w:spacing w:after="0" w:line="240" w:lineRule="auto"/>
        <w:ind w:left="720" w:hanging="720"/>
      </w:pPr>
      <w:r>
        <w:t>4.</w:t>
      </w:r>
      <w:r w:rsidR="002C1F32" w:rsidRPr="008F702F">
        <w:t xml:space="preserve">Ozernov-Palchik, O., Norton, E. S., Wang, Y., Beach, S. D., Zuk, J., Wolf, M., Gabrieli, J. D. E., &amp; Gaab, N. (2019). The relationship between socioeconomic status and white matter microstructure in pre-reading children: A longitudinal investigation. </w:t>
      </w:r>
      <w:r w:rsidR="002C1F32" w:rsidRPr="008F702F">
        <w:rPr>
          <w:i/>
          <w:iCs/>
        </w:rPr>
        <w:t>Human Brain Mapping</w:t>
      </w:r>
      <w:r w:rsidR="002C1F32" w:rsidRPr="008F702F">
        <w:t xml:space="preserve">, </w:t>
      </w:r>
      <w:r w:rsidR="002C1F32" w:rsidRPr="008F702F">
        <w:rPr>
          <w:i/>
          <w:iCs/>
        </w:rPr>
        <w:t>40</w:t>
      </w:r>
      <w:r w:rsidR="002C1F32" w:rsidRPr="008F702F">
        <w:t xml:space="preserve">(3), 741–754. </w:t>
      </w:r>
      <w:hyperlink r:id="rId9" w:history="1">
        <w:r w:rsidR="002C1F32" w:rsidRPr="008F702F">
          <w:rPr>
            <w:rStyle w:val="Hyperlink"/>
          </w:rPr>
          <w:t>https://doi.org/10.1002/hbm.24407</w:t>
        </w:r>
      </w:hyperlink>
    </w:p>
    <w:p w14:paraId="5E0BD12D" w14:textId="77777777" w:rsidR="008F702F" w:rsidRPr="008F702F" w:rsidRDefault="008F702F" w:rsidP="008F702F">
      <w:pPr>
        <w:spacing w:after="0" w:line="240" w:lineRule="auto"/>
        <w:ind w:left="720" w:hanging="720"/>
      </w:pPr>
    </w:p>
    <w:p w14:paraId="1988A122" w14:textId="2D2C9CCE" w:rsidR="002C1F32" w:rsidRDefault="008F702F" w:rsidP="008F702F">
      <w:pPr>
        <w:spacing w:after="0" w:line="240" w:lineRule="auto"/>
        <w:ind w:left="720" w:hanging="720"/>
      </w:pPr>
      <w:r>
        <w:t>5.</w:t>
      </w:r>
      <w:r w:rsidR="002C1F32" w:rsidRPr="008F702F">
        <w:t xml:space="preserve">Vanderauwera, J., </w:t>
      </w:r>
      <w:proofErr w:type="spellStart"/>
      <w:r w:rsidR="002C1F32" w:rsidRPr="008F702F">
        <w:t>Setten</w:t>
      </w:r>
      <w:proofErr w:type="spellEnd"/>
      <w:r w:rsidR="002C1F32" w:rsidRPr="008F702F">
        <w:t xml:space="preserve">, E. R. H. van, Maurits, N. M., &amp; Maassen, B. A. M. (2019). The interplay of socio-economic status represented by paternal educational level, white matter structure and reading. </w:t>
      </w:r>
      <w:r w:rsidR="002C1F32" w:rsidRPr="008F702F">
        <w:rPr>
          <w:i/>
          <w:iCs/>
        </w:rPr>
        <w:t>PLOS ONE</w:t>
      </w:r>
      <w:r w:rsidR="002C1F32" w:rsidRPr="008F702F">
        <w:t xml:space="preserve">, </w:t>
      </w:r>
      <w:r w:rsidR="002C1F32" w:rsidRPr="008F702F">
        <w:rPr>
          <w:i/>
          <w:iCs/>
        </w:rPr>
        <w:t>14</w:t>
      </w:r>
      <w:r w:rsidR="002C1F32" w:rsidRPr="008F702F">
        <w:t xml:space="preserve">(5), e0215560. </w:t>
      </w:r>
      <w:hyperlink r:id="rId10" w:history="1">
        <w:r w:rsidR="002C1F32" w:rsidRPr="008F702F">
          <w:rPr>
            <w:rStyle w:val="Hyperlink"/>
          </w:rPr>
          <w:t>https://doi.org/10.1371/journal.pone.0215560</w:t>
        </w:r>
      </w:hyperlink>
    </w:p>
    <w:p w14:paraId="591FB691" w14:textId="77777777" w:rsidR="008F702F" w:rsidRPr="008F702F" w:rsidRDefault="008F702F" w:rsidP="008F702F">
      <w:pPr>
        <w:spacing w:after="0" w:line="240" w:lineRule="auto"/>
        <w:ind w:left="720" w:hanging="720"/>
      </w:pPr>
    </w:p>
    <w:p w14:paraId="299A5DE2" w14:textId="30CF1EBD" w:rsidR="002C1F32" w:rsidRPr="008F702F" w:rsidRDefault="008F702F" w:rsidP="008F702F">
      <w:pPr>
        <w:spacing w:after="0" w:line="240" w:lineRule="auto"/>
        <w:ind w:left="720" w:hanging="720"/>
      </w:pPr>
      <w:r>
        <w:t>6.</w:t>
      </w:r>
      <w:r w:rsidR="002C1F32" w:rsidRPr="008F702F">
        <w:t xml:space="preserve">Villa, M., Koirala, N., Perdue, M. V., Branum-Martin, L., &amp; Landi, N. (2025). How does SES influence the brain circuitry for literacy? Modeling the association between SES, oral language, white matter integrity, and reading. </w:t>
      </w:r>
      <w:r w:rsidR="002C1F32" w:rsidRPr="008F702F">
        <w:rPr>
          <w:i/>
          <w:iCs/>
        </w:rPr>
        <w:t>Developmental Cognitive Neuroscience</w:t>
      </w:r>
      <w:r w:rsidR="002C1F32" w:rsidRPr="008F702F">
        <w:t xml:space="preserve">, </w:t>
      </w:r>
      <w:r w:rsidR="002C1F32" w:rsidRPr="008F702F">
        <w:rPr>
          <w:i/>
          <w:iCs/>
        </w:rPr>
        <w:t>73</w:t>
      </w:r>
      <w:r w:rsidR="002C1F32" w:rsidRPr="008F702F">
        <w:t xml:space="preserve">, 101561. </w:t>
      </w:r>
      <w:hyperlink r:id="rId11" w:history="1">
        <w:r w:rsidR="002C1F32" w:rsidRPr="008F702F">
          <w:rPr>
            <w:rStyle w:val="Hyperlink"/>
          </w:rPr>
          <w:t>https://doi.org/10.1016/j.dcn.2025.101561</w:t>
        </w:r>
      </w:hyperlink>
    </w:p>
    <w:p w14:paraId="22DD2966" w14:textId="77777777" w:rsidR="00867088" w:rsidRPr="008F702F" w:rsidRDefault="00867088" w:rsidP="008F702F">
      <w:pPr>
        <w:spacing w:after="0" w:line="240" w:lineRule="auto"/>
      </w:pPr>
    </w:p>
    <w:sectPr w:rsidR="00867088" w:rsidRPr="008F702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07A87" w14:textId="77777777" w:rsidR="00F17F0F" w:rsidRDefault="00F17F0F" w:rsidP="00F17F0F">
      <w:pPr>
        <w:spacing w:after="0" w:line="240" w:lineRule="auto"/>
      </w:pPr>
      <w:r>
        <w:separator/>
      </w:r>
    </w:p>
  </w:endnote>
  <w:endnote w:type="continuationSeparator" w:id="0">
    <w:p w14:paraId="6BD20438" w14:textId="77777777" w:rsidR="00F17F0F" w:rsidRDefault="00F17F0F" w:rsidP="00F17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E18C9C" w14:textId="77777777" w:rsidR="00F17F0F" w:rsidRDefault="00F17F0F" w:rsidP="00F17F0F">
      <w:pPr>
        <w:spacing w:after="0" w:line="240" w:lineRule="auto"/>
      </w:pPr>
      <w:r>
        <w:separator/>
      </w:r>
    </w:p>
  </w:footnote>
  <w:footnote w:type="continuationSeparator" w:id="0">
    <w:p w14:paraId="16EAA627" w14:textId="77777777" w:rsidR="00F17F0F" w:rsidRDefault="00F17F0F" w:rsidP="00F17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9E495" w14:textId="77777777" w:rsidR="00F17F0F" w:rsidRPr="00F17F0F" w:rsidRDefault="00F17F0F" w:rsidP="00F17F0F">
    <w:pPr>
      <w:pStyle w:val="Header"/>
    </w:pPr>
    <w:r w:rsidRPr="00F17F0F">
      <w:rPr>
        <w:b/>
        <w:bCs/>
      </w:rPr>
      <w:t xml:space="preserve">The left inferior longitudinal fasciculus is related to passage comprehension in middle </w:t>
    </w:r>
    <w:proofErr w:type="gramStart"/>
    <w:r w:rsidRPr="00F17F0F">
      <w:rPr>
        <w:b/>
        <w:bCs/>
      </w:rPr>
      <w:t>childhood</w:t>
    </w:r>
    <w:proofErr w:type="gramEnd"/>
  </w:p>
  <w:p w14:paraId="3A2C6AC2" w14:textId="236A1100" w:rsidR="00F17F0F" w:rsidRDefault="00F17F0F">
    <w:pPr>
      <w:pStyle w:val="Header"/>
    </w:pPr>
    <w:r>
      <w:t>Hughes-Berheim et al., VKC Science Day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FC2C60"/>
    <w:multiLevelType w:val="hybridMultilevel"/>
    <w:tmpl w:val="132E1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720BB"/>
    <w:multiLevelType w:val="hybridMultilevel"/>
    <w:tmpl w:val="48DCA9F8"/>
    <w:lvl w:ilvl="0" w:tplc="08785584">
      <w:start w:val="1"/>
      <w:numFmt w:val="upperLetter"/>
      <w:pStyle w:val="F32-Level2Heading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0883231">
    <w:abstractNumId w:val="1"/>
  </w:num>
  <w:num w:numId="2" w16cid:durableId="1160148977">
    <w:abstractNumId w:val="1"/>
  </w:num>
  <w:num w:numId="3" w16cid:durableId="137549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0F"/>
    <w:rsid w:val="000A2F41"/>
    <w:rsid w:val="002C1F32"/>
    <w:rsid w:val="003F0F0F"/>
    <w:rsid w:val="004D3C0F"/>
    <w:rsid w:val="006039D4"/>
    <w:rsid w:val="00703CFC"/>
    <w:rsid w:val="00867088"/>
    <w:rsid w:val="008E1DC2"/>
    <w:rsid w:val="008F702F"/>
    <w:rsid w:val="00EC012B"/>
    <w:rsid w:val="00F1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703A"/>
  <w15:chartTrackingRefBased/>
  <w15:docId w15:val="{234D821F-7D27-48D5-920E-28855D64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12B"/>
  </w:style>
  <w:style w:type="paragraph" w:styleId="Heading1">
    <w:name w:val="heading 1"/>
    <w:basedOn w:val="Normal"/>
    <w:next w:val="Normal"/>
    <w:link w:val="Heading1Char"/>
    <w:uiPriority w:val="9"/>
    <w:qFormat/>
    <w:rsid w:val="00F17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F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F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">
    <w:name w:val="APA"/>
    <w:basedOn w:val="Normal"/>
    <w:link w:val="APAChar"/>
    <w:qFormat/>
    <w:rsid w:val="003F0F0F"/>
    <w:pPr>
      <w:spacing w:after="0" w:line="480" w:lineRule="auto"/>
    </w:pPr>
    <w:rPr>
      <w:rFonts w:ascii="Times New Roman" w:hAnsi="Times New Roman" w:cs="Times New Roman"/>
    </w:rPr>
  </w:style>
  <w:style w:type="character" w:customStyle="1" w:styleId="APAChar">
    <w:name w:val="APA Char"/>
    <w:basedOn w:val="DefaultParagraphFont"/>
    <w:link w:val="APA"/>
    <w:rsid w:val="003F0F0F"/>
    <w:rPr>
      <w:rFonts w:ascii="Times New Roman" w:hAnsi="Times New Roman" w:cs="Times New Roman"/>
      <w:sz w:val="24"/>
      <w:szCs w:val="24"/>
    </w:rPr>
  </w:style>
  <w:style w:type="paragraph" w:customStyle="1" w:styleId="F32-Level2HeadingA">
    <w:name w:val="F32 - Level 2 Heading (A)"/>
    <w:basedOn w:val="ListParagraph"/>
    <w:qFormat/>
    <w:rsid w:val="008E1DC2"/>
    <w:pPr>
      <w:numPr>
        <w:numId w:val="2"/>
      </w:numPr>
      <w:spacing w:after="0"/>
    </w:pPr>
    <w:rPr>
      <w:rFonts w:ascii="Arial" w:eastAsia="Arial" w:hAnsi="Arial" w:cs="Arial"/>
      <w:b/>
      <w:bCs/>
      <w:kern w:val="0"/>
      <w:sz w:val="22"/>
      <w:szCs w:val="22"/>
      <w:lang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EC01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7F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F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F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F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F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F0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17F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F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F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F0F"/>
  </w:style>
  <w:style w:type="paragraph" w:styleId="Footer">
    <w:name w:val="footer"/>
    <w:basedOn w:val="Normal"/>
    <w:link w:val="FooterChar"/>
    <w:uiPriority w:val="99"/>
    <w:unhideWhenUsed/>
    <w:rsid w:val="00F1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F0F"/>
  </w:style>
  <w:style w:type="character" w:styleId="Hyperlink">
    <w:name w:val="Hyperlink"/>
    <w:basedOn w:val="DefaultParagraphFont"/>
    <w:uiPriority w:val="99"/>
    <w:unhideWhenUsed/>
    <w:rsid w:val="00F17F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0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0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8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2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6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S0896-6273(00)80911-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16/S0010-9452(08)70272-7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dcn.2025.10156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i.org/10.1371/journal.pone.02155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2/hbm.2440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a5a7f39-e3be-4ab3-b450-67fa80faecad}" enabled="0" method="" siteId="{ba5a7f39-e3be-4ab3-b450-67fa80faeca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Hughes-Berheim, Sarah</dc:creator>
  <cp:keywords/>
  <dc:description/>
  <cp:lastModifiedBy>Hughes-Berheim, Sarah</cp:lastModifiedBy>
  <cp:revision>2</cp:revision>
  <dcterms:created xsi:type="dcterms:W3CDTF">2025-10-03T16:50:00Z</dcterms:created>
  <dcterms:modified xsi:type="dcterms:W3CDTF">2025-10-03T17:05:00Z</dcterms:modified>
</cp:coreProperties>
</file>