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医院管理系统</w:t>
      </w:r>
    </w:p>
    <w:p>
      <w:pPr>
        <w:pStyle w:val="3"/>
        <w:numPr>
          <w:numId w:val="0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系统管理</w:t>
      </w: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菜单管理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b w:val="0"/>
          <w:bCs/>
          <w:color w:val="000000" w:themeColor="text1"/>
          <w:sz w:val="24"/>
          <w:szCs w:val="21"/>
          <w:shd w:val="clear" w:fill="EFEFE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z w:val="24"/>
          <w:szCs w:val="21"/>
          <w:lang w:val="en-US" w:eastAsia="zh-CN"/>
        </w:rPr>
        <w:t>菜单管理，增加系统菜单，管理系统左边菜单，添加路径，图标，禁用启用菜单等，</w:t>
      </w:r>
      <w:r>
        <w:rPr>
          <w:rFonts w:hint="default" w:ascii="Times New Roman" w:hAnsi="Times New Roman" w:eastAsia="宋体" w:cs="Times New Roman"/>
          <w:color w:val="auto"/>
          <w:sz w:val="24"/>
          <w:szCs w:val="21"/>
          <w:lang w:val="en-US" w:eastAsia="zh-CN"/>
        </w:rPr>
        <w:t>菜单管理页面是用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1"/>
          <w:shd w:val="clear" w:fill="EFEFEF"/>
        </w:rPr>
        <w:t>frameset</w:t>
      </w:r>
      <w:r>
        <w:rPr>
          <w:rFonts w:hint="default" w:ascii="Times New Roman" w:hAnsi="Times New Roman" w:eastAsia="宋体" w:cs="Times New Roman"/>
          <w:b/>
          <w:color w:val="000080"/>
          <w:sz w:val="24"/>
          <w:szCs w:val="21"/>
          <w:shd w:val="clear" w:fill="EFEFE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color w:val="000000" w:themeColor="text1"/>
          <w:sz w:val="24"/>
          <w:szCs w:val="21"/>
          <w:shd w:val="clear" w:fill="EFEFEF"/>
          <w:lang w:val="en-US" w:eastAsia="zh-CN"/>
          <w14:textFill>
            <w14:solidFill>
              <w14:schemeClr w14:val="tx1"/>
            </w14:solidFill>
          </w14:textFill>
        </w:rPr>
        <w:t>标签两个页面集合而成，点击左边菜单，相应的右边表格会模糊查询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角色管理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角色管理，包括添加角色，修改角色，删除角色，系统中有不同的角色，每个角色分配的菜单不同，只有给角色分配菜单后，角色才有相应的菜单，分配菜单，给每个角色分配菜单需要先删除除原角色先前的菜单，然后给角色分配菜单，删除角色，根据角色的id删除角色后需要删除关联的角色的菜单表中的角色</w:t>
      </w: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用户管理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添加用户，添加的用户是登陆系统的账户及用户信息，用户的密码为默认密码（可以进行修该），添加用户后需要给用户分配角色每个角色拥有的菜单不同，给用户分配角色后该用户会有相应的角色中的菜单权限，分配角色，给每个用户添加不同的角色后可以禁行修改，删除等操作，删除用户需要删除相应 分配的角色id</w:t>
      </w: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数据源监控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数据源监控可以监控每个sql的运行信息，jdk,数据可版本等信息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统计管理</w:t>
      </w: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门诊年统计数据图</w:t>
      </w:r>
    </w:p>
    <w:p>
      <w:pPr>
        <w:numPr>
          <w:ilvl w:val="0"/>
          <w:numId w:val="0"/>
        </w:num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查询门诊年统计饼状图记录每年的财务情况</w:t>
      </w: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住院年统计数据图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查询住院年统计饼状图记录每年的财务情况</w:t>
      </w: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门诊月统计数据图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查询医院某一年每月的门诊统计情况，可以根据查询某一年的每月的收入统计</w:t>
      </w: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住院月统计数据图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查询医院某一年每月的住院统计情况，可以根据查询某一年的每月的收入统计</w:t>
      </w:r>
    </w:p>
    <w:p>
      <w:pPr>
        <w:pStyle w:val="4"/>
        <w:bidi w:val="0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门诊每天的统计数据图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查询医院某一天每天的门诊统计情况，可以根据查询某一天的每天的收入统计，查看详细的项目统计或者药品统计。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72C98"/>
    <w:rsid w:val="08EC1AA2"/>
    <w:rsid w:val="732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2019-11-27T00:59:00Z</dcterms:created>
  <dc:creator>Swordsman</dc:creator>
  <cp:lastModifiedBy>Swordsman</cp:lastModifiedBy>
  <dcterms:modified xsi:type="dcterms:W3CDTF">2019-11-27T01:01:45Z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