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32"/>
        </w:rPr>
      </w:pPr>
      <w:r>
        <w:rPr>
          <w:rFonts w:hint="eastAsia" w:eastAsia="黑体"/>
          <w:b/>
          <w:sz w:val="32"/>
        </w:rPr>
        <w:t>武汉职业技术学院计算机技术与软件工程学院</w:t>
      </w:r>
    </w:p>
    <w:p>
      <w:pPr>
        <w:jc w:val="center"/>
        <w:rPr>
          <w:rFonts w:eastAsia="黑体"/>
          <w:b/>
          <w:sz w:val="32"/>
        </w:rPr>
      </w:pPr>
      <w:r>
        <w:rPr>
          <w:rFonts w:hint="eastAsia" w:eastAsia="黑体"/>
          <w:b/>
          <w:sz w:val="32"/>
        </w:rPr>
        <w:t>毕业设计（论文）开题报告</w:t>
      </w:r>
    </w:p>
    <w:p>
      <w:pPr>
        <w:jc w:val="center"/>
        <w:rPr>
          <w:b/>
        </w:rPr>
      </w:pPr>
    </w:p>
    <w:tbl>
      <w:tblPr>
        <w:tblStyle w:val="11"/>
        <w:tblW w:w="892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68"/>
        <w:gridCol w:w="2520"/>
        <w:gridCol w:w="1980"/>
        <w:gridCol w:w="30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2"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课题名称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sz w:val="24"/>
              </w:rPr>
            </w:pPr>
            <w:r>
              <w:rPr>
                <w:rFonts w:hint="eastAsia"/>
                <w:sz w:val="24"/>
              </w:rPr>
              <w:t>基于Vue.js和网易云音乐API的Web音乐播放器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院系名称</w:t>
            </w:r>
          </w:p>
        </w:tc>
        <w:tc>
          <w:tcPr>
            <w:tcW w:w="252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计算机技术与软件工程学院</w:t>
            </w:r>
          </w:p>
        </w:tc>
        <w:tc>
          <w:tcPr>
            <w:tcW w:w="198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专    业</w:t>
            </w:r>
          </w:p>
        </w:tc>
        <w:tc>
          <w:tcPr>
            <w:tcW w:w="30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计算机网络技术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3" w:hRule="atLeast"/>
          <w:jc w:val="center"/>
        </w:trPr>
        <w:tc>
          <w:tcPr>
            <w:tcW w:w="1368"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pacing w:val="100"/>
                <w:sz w:val="28"/>
                <w:szCs w:val="28"/>
              </w:rPr>
              <w:t xml:space="preserve">班 </w:t>
            </w:r>
            <w:r>
              <w:rPr>
                <w:rFonts w:hint="eastAsia"/>
                <w:sz w:val="28"/>
              </w:rPr>
              <w:t>级</w:t>
            </w:r>
          </w:p>
        </w:tc>
        <w:tc>
          <w:tcPr>
            <w:tcW w:w="252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default" w:eastAsia="宋体"/>
                <w:sz w:val="24"/>
                <w:lang w:val="en-US" w:eastAsia="zh-CN"/>
              </w:rPr>
            </w:pPr>
            <w:r>
              <w:rPr>
                <w:rFonts w:hint="eastAsia"/>
                <w:sz w:val="24"/>
                <w:lang w:val="en-US" w:eastAsia="zh-CN"/>
              </w:rPr>
              <w:t>网络18304</w:t>
            </w:r>
          </w:p>
        </w:tc>
        <w:tc>
          <w:tcPr>
            <w:tcW w:w="198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sz w:val="28"/>
              </w:rPr>
            </w:pPr>
            <w:r>
              <w:rPr>
                <w:rFonts w:hint="eastAsia"/>
                <w:sz w:val="28"/>
              </w:rPr>
              <w:t>学生姓名</w:t>
            </w:r>
          </w:p>
        </w:tc>
        <w:tc>
          <w:tcPr>
            <w:tcW w:w="30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hint="eastAsia" w:eastAsia="宋体"/>
                <w:sz w:val="24"/>
                <w:lang w:val="en-US" w:eastAsia="zh-CN"/>
              </w:rPr>
            </w:pPr>
            <w:r>
              <w:rPr>
                <w:rFonts w:hint="eastAsia"/>
                <w:sz w:val="24"/>
                <w:lang w:val="en-US" w:eastAsia="zh-CN"/>
              </w:rPr>
              <w:t>舒洪凡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5" w:hRule="atLeast"/>
          <w:jc w:val="center"/>
        </w:trPr>
        <w:tc>
          <w:tcPr>
            <w:tcW w:w="8928" w:type="dxa"/>
            <w:gridSpan w:val="4"/>
            <w:noWrap w:val="0"/>
            <w:vAlign w:val="top"/>
          </w:tcPr>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（内容包括：课题的意义，所属领域的发展状况，本课题的研究内容、研究方法、研究手段和研究步骤以及参考书目等。）</w:t>
            </w:r>
          </w:p>
          <w:p>
            <w:pPr>
              <w:pStyle w:val="3"/>
              <w:numPr>
                <w:ilvl w:val="0"/>
                <w:numId w:val="2"/>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课题的研究意义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我国信息技术的不断发展，尤其是在当今互联网的不断影响下，各行各业都将迎来新的机遇与挑战，其中最首当其冲当属教育行业了，应为教育作为人接受知识并变现到立足社会、实现生存与发展的根本，知识就是力量，这充分体现了教育的重要性；教育不仅对个人来说很重要，对于一个国家，它也是非常重要的，应为在当今这个国际分工如此之残酷的现实情况下，我们必须站立的制高点，才不会被别人金融打击，技术封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月28日，CNNIC第45次调查报告显示，截至2020年3月，我国网民规模达9.04亿，较2018年底增长7508万，互联网普及率达64.5%，较2018年底提升4.9个百分点。截至2020年3月，我国手机网民规模达8.97亿，较2018年底增长7992万，我国网民使用手机上网的比例达99.3%，较2018年底提升0.7个百分点。我国农村网民规模为2.55亿，占网民整体的28.2%；城镇网民规模为6.49亿，占网民整体的71.8%。</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5月13日消息 腾讯控股发布截至2020年3月31日止2020年第一季度财报。财报显示，腾讯微信及WECHAT的月活跃帐户12亿，同比增加8.2%。QQ月活跃账户数为6.935亿，去年同期为7.004亿，同比减少1.0%，环比增加7.2%。其中经常使用微信小程序及WeChat的用户已达4亿，并且保持着10%+的增速；并且支付宝小程序两年以来,小程序数量已达200万,月活用户数超6亿。其他的互联网巨头也纷纷入场，百度小程序，字节跳动头条抖音小程序，美团小程序也是如此。可见小程序的发展已经成为现今且未来很长一段时间技术发展的一个重要方向，它将使各行各业的很多问题，集中于一个小程序的实现而得以解决。</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基于上面（1）（2）所体现的教育需要，网民对PC端和移动端页面的需要和微信的巨大流量市场，我推出了</w:t>
            </w:r>
            <w:r>
              <w:rPr>
                <w:rFonts w:hint="eastAsia" w:asciiTheme="minorEastAsia" w:hAnsiTheme="minorEastAsia" w:eastAsiaTheme="minorEastAsia" w:cstheme="minorEastAsia"/>
                <w:sz w:val="24"/>
                <w:szCs w:val="24"/>
              </w:rPr>
              <w:t>基于Vue.js和网易云音乐API的Web音乐播放器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特别为其取名为“凡音”，希望这样的一个音乐播放器能够像它的名字那样，向普通平凡的人提供音乐方面的服务，满足人们在电脑上、手机上、微信聊天中，还能够不用转向其他的平台就可以快速地打开它，在微信中只需要在微信小程序一栏中点击它，就可以开始播放你想要聆听的歌曲，欢乐愉快的享受音乐带来的乐趣。同时我们也支持在普通电脑上，手机的浏览器中直接访问WEB页面，直接进行播放，支持多平台，使得你不管是什么平台我们都可以播放。</w:t>
            </w:r>
          </w:p>
          <w:p>
            <w:pPr>
              <w:pStyle w:val="3"/>
              <w:numPr>
                <w:ilvl w:val="0"/>
                <w:numId w:val="2"/>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课题的主要内容</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9" w:hRule="atLeast"/>
          <w:jc w:val="center"/>
        </w:trPr>
        <w:tc>
          <w:tcPr>
            <w:tcW w:w="8928" w:type="dxa"/>
            <w:gridSpan w:val="4"/>
            <w:noWrap w:val="0"/>
            <w:vAlign w:val="top"/>
          </w:tcPr>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ind w:firstLine="4620" w:firstLineChars="1650"/>
              <w:rPr>
                <w:rFonts w:hint="eastAsia"/>
                <w:sz w:val="24"/>
                <w:u w:val="single"/>
              </w:rPr>
            </w:pPr>
            <w:r>
              <w:rPr>
                <w:rFonts w:hint="eastAsia"/>
                <w:sz w:val="28"/>
              </w:rPr>
              <w:t>指导教师签名：</w:t>
            </w:r>
            <w:r>
              <w:rPr>
                <w:rFonts w:hint="eastAsia"/>
                <w:sz w:val="28"/>
                <w:u w:val="single"/>
              </w:rPr>
              <w:t xml:space="preserve">           </w:t>
            </w:r>
          </w:p>
          <w:p>
            <w:pPr>
              <w:ind w:firstLine="6440" w:firstLineChars="2300"/>
              <w:rPr>
                <w:rFonts w:hint="eastAsia"/>
                <w:sz w:val="28"/>
                <w:szCs w:val="28"/>
              </w:rPr>
            </w:pPr>
            <w:r>
              <w:rPr>
                <w:rFonts w:hint="eastAsia"/>
                <w:sz w:val="28"/>
                <w:szCs w:val="28"/>
              </w:rPr>
              <w:t>年    月    日</w:t>
            </w:r>
          </w:p>
        </w:tc>
      </w:tr>
    </w:tbl>
    <w:p>
      <w:pPr>
        <w:rPr>
          <w:rFonts w:hint="eastAsia"/>
        </w:rPr>
      </w:pPr>
    </w:p>
    <w:sectPr>
      <w:pgSz w:w="11906" w:h="16838"/>
      <w:pgMar w:top="1021" w:right="1797" w:bottom="96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13A22"/>
    <w:multiLevelType w:val="singleLevel"/>
    <w:tmpl w:val="40013A22"/>
    <w:lvl w:ilvl="0" w:tentative="0">
      <w:start w:val="1"/>
      <w:numFmt w:val="decimal"/>
      <w:lvlText w:val="(%1)"/>
      <w:lvlJc w:val="left"/>
      <w:pPr>
        <w:ind w:left="425" w:hanging="425"/>
      </w:pPr>
      <w:rPr>
        <w:rFonts w:hint="default"/>
      </w:rPr>
    </w:lvl>
  </w:abstractNum>
  <w:abstractNum w:abstractNumId="1">
    <w:nsid w:val="41442FC0"/>
    <w:multiLevelType w:val="multilevel"/>
    <w:tmpl w:val="41442FC0"/>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6BE6B41C"/>
    <w:multiLevelType w:val="singleLevel"/>
    <w:tmpl w:val="6BE6B41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8A"/>
    <w:rsid w:val="0005178A"/>
    <w:rsid w:val="000C6197"/>
    <w:rsid w:val="000F65BD"/>
    <w:rsid w:val="00615520"/>
    <w:rsid w:val="007B24DB"/>
    <w:rsid w:val="00A86CC3"/>
    <w:rsid w:val="00FC612A"/>
    <w:rsid w:val="101D79B2"/>
    <w:rsid w:val="132972B4"/>
    <w:rsid w:val="1A9C4AFA"/>
    <w:rsid w:val="1F48247C"/>
    <w:rsid w:val="20CB1B4D"/>
    <w:rsid w:val="24E9361D"/>
    <w:rsid w:val="2A786188"/>
    <w:rsid w:val="427450DB"/>
    <w:rsid w:val="42E22EC9"/>
    <w:rsid w:val="4D892834"/>
    <w:rsid w:val="526F7244"/>
    <w:rsid w:val="537965B4"/>
    <w:rsid w:val="58131966"/>
    <w:rsid w:val="606C40BE"/>
    <w:rsid w:val="62FE6953"/>
    <w:rsid w:val="683757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whust</Company>
  <Pages>2</Pages>
  <Words>29</Words>
  <Characters>168</Characters>
  <Lines>1</Lines>
  <Paragraphs>1</Paragraphs>
  <TotalTime>0</TotalTime>
  <ScaleCrop>false</ScaleCrop>
  <LinksUpToDate>false</LinksUpToDate>
  <CharactersWithSpaces>196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2017-11-11T04:38:00Z</dcterms:created>
  <dc:creator>zp</dc:creator>
  <cp:lastModifiedBy>舒洪凡</cp:lastModifiedBy>
  <dcterms:modified xsi:type="dcterms:W3CDTF">2020-12-17T18:12:44Z</dcterms:modified>
  <dc:title>附件四：</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