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6AEBE6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游戏设计前端</w:t>
      </w:r>
    </w:p>
    <w:p w14:paraId="664479DD">
      <w:pPr>
        <w:pStyle w:val="3"/>
        <w:bidi w:val="0"/>
      </w:pPr>
      <w:r>
        <w:t>第一部分：颜色和字体</w:t>
      </w:r>
    </w:p>
    <w:p w14:paraId="1759E06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rStyle w:val="8"/>
          <w:rFonts w:hint="eastAsia"/>
          <w:b w:val="0"/>
          <w:bCs/>
          <w:sz w:val="21"/>
          <w:szCs w:val="21"/>
        </w:rPr>
        <w:t>背景底色为深青蓝向墨绿柔和渐变，底色之上铺一层低透明度细浅灰色网格纹理，网格很淡，不会抢夺前景地块图标的视觉重心。画面边缘带有微弱暗紫色环境光晕，背景底部有淡淡的暗色城市轮廓剪影，剪影虚化处理。整体色调偏深沉，用来衬托前方各类彩色地块图标，保证图标清晰突出。</w:t>
      </w:r>
      <w:r>
        <w:t>每块地像一块</w:t>
      </w:r>
      <w:r>
        <w:rPr>
          <w:rStyle w:val="8"/>
        </w:rPr>
        <w:t>有厚度的地砖</w:t>
      </w:r>
      <w:r>
        <w:t>：</w:t>
      </w:r>
      <w:r>
        <w:rPr>
          <w:rStyle w:val="8"/>
        </w:rPr>
        <w:t>顶边有一道浅色亮边</w:t>
      </w:r>
      <w:r>
        <w:t>（受光面），</w:t>
      </w:r>
      <w:r>
        <w:rPr>
          <w:rStyle w:val="8"/>
        </w:rPr>
        <w:t>底边压着一道深色阴影</w:t>
      </w:r>
      <w:r>
        <w:t>（有厚度），四周有</w:t>
      </w:r>
      <w:r>
        <w:rPr>
          <w:rStyle w:val="8"/>
        </w:rPr>
        <w:t>柔和的落差投影</w:t>
      </w:r>
      <w:r>
        <w:t>。地砖之间是</w:t>
      </w:r>
      <w:r>
        <w:rPr>
          <w:rStyle w:val="8"/>
        </w:rPr>
        <w:t>很窄的深色缝隙</w:t>
      </w:r>
      <w:r>
        <w:t>。</w:t>
      </w:r>
    </w:p>
    <w:p w14:paraId="1F16607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>地块的</w:t>
      </w:r>
      <w:r>
        <w:rPr>
          <w:rStyle w:val="8"/>
        </w:rPr>
        <w:t>四个角是圆角</w:t>
      </w:r>
      <w:r>
        <w:t>（约 14 像素），不是直角。</w:t>
      </w:r>
    </w:p>
    <w:p w14:paraId="0952361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>顶栏是最亮的区域（#2C363F，比主体略亮），形成"仪表盘"的感觉。</w:t>
      </w:r>
    </w:p>
    <w:p w14:paraId="535C886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t>全画面</w:t>
      </w:r>
      <w:r>
        <w:rPr>
          <w:rStyle w:val="8"/>
        </w:rPr>
        <w:t>字体偏细、偏正</w:t>
      </w:r>
      <w:r>
        <w:t xml:space="preserve">：中文用苹方 / 微软雅黑，数字用 </w:t>
      </w:r>
      <w:r>
        <w:rPr>
          <w:rStyle w:val="9"/>
        </w:rPr>
        <w:t>等宽字体</w:t>
      </w:r>
      <w:r>
        <w:t>（Consolas 那类）。</w:t>
      </w:r>
    </w:p>
    <w:p w14:paraId="0F93F81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rStyle w:val="8"/>
        </w:rPr>
        <w:t>数字一律等宽、右对齐、按中国股市惯例上色</w:t>
      </w:r>
      <w:r>
        <w:t>：涨 / 赚用红（#E8615A），跌 / 亏用绿（#4FBF7F）。</w:t>
      </w:r>
    </w:p>
    <w:p w14:paraId="4B4A031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颜色速查表</w:t>
      </w:r>
      <w:r>
        <w:t>）：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3583"/>
      </w:tblGrid>
      <w:tr w14:paraId="20735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1DEA71">
            <w:pPr>
              <w:pStyle w:val="5"/>
              <w:keepNext w:val="0"/>
              <w:keepLines w:val="0"/>
              <w:widowControl/>
              <w:suppressLineNumbers w:val="0"/>
            </w:pPr>
            <w:r>
              <w:t>用途</w:t>
            </w:r>
          </w:p>
        </w:tc>
        <w:tc>
          <w:tcPr>
            <w:tcW w:w="0" w:type="auto"/>
            <w:shd w:val="clear"/>
            <w:vAlign w:val="center"/>
          </w:tcPr>
          <w:p w14:paraId="3F93B435">
            <w:pPr>
              <w:pStyle w:val="5"/>
              <w:keepNext w:val="0"/>
              <w:keepLines w:val="0"/>
              <w:widowControl/>
              <w:suppressLineNumbers w:val="0"/>
            </w:pPr>
            <w:r>
              <w:t>颜色</w:t>
            </w:r>
          </w:p>
        </w:tc>
      </w:tr>
      <w:tr w14:paraId="5C861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DA1ED8">
            <w:pPr>
              <w:pStyle w:val="5"/>
              <w:keepNext w:val="0"/>
              <w:keepLines w:val="0"/>
              <w:widowControl/>
              <w:suppressLineNumbers w:val="0"/>
            </w:pPr>
            <w:r>
              <w:t>页面底色</w:t>
            </w:r>
          </w:p>
        </w:tc>
        <w:tc>
          <w:tcPr>
            <w:tcW w:w="0" w:type="auto"/>
            <w:shd w:val="clear"/>
            <w:vAlign w:val="center"/>
          </w:tcPr>
          <w:p w14:paraId="48E74800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#212930</w:t>
            </w:r>
          </w:p>
        </w:tc>
      </w:tr>
      <w:tr w14:paraId="3C045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25A808">
            <w:pPr>
              <w:pStyle w:val="5"/>
              <w:keepNext w:val="0"/>
              <w:keepLines w:val="0"/>
              <w:widowControl/>
              <w:suppressLineNumbers w:val="0"/>
            </w:pPr>
            <w:r>
              <w:t>面板底色</w:t>
            </w:r>
          </w:p>
        </w:tc>
        <w:tc>
          <w:tcPr>
            <w:tcW w:w="0" w:type="auto"/>
            <w:shd w:val="clear"/>
            <w:vAlign w:val="center"/>
          </w:tcPr>
          <w:p w14:paraId="7B9935A7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#2A323A</w:t>
            </w:r>
          </w:p>
        </w:tc>
      </w:tr>
      <w:tr w14:paraId="02479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7FB665">
            <w:pPr>
              <w:pStyle w:val="5"/>
              <w:keepNext w:val="0"/>
              <w:keepLines w:val="0"/>
              <w:widowControl/>
              <w:suppressLineNumbers w:val="0"/>
            </w:pPr>
            <w:r>
              <w:t>面板次级 / 按钮底</w:t>
            </w:r>
          </w:p>
        </w:tc>
        <w:tc>
          <w:tcPr>
            <w:tcW w:w="0" w:type="auto"/>
            <w:shd w:val="clear"/>
            <w:vAlign w:val="center"/>
          </w:tcPr>
          <w:p w14:paraId="6995B0BA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#313A43</w:t>
            </w:r>
          </w:p>
        </w:tc>
      </w:tr>
      <w:tr w14:paraId="7331F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9E1A8A">
            <w:pPr>
              <w:pStyle w:val="5"/>
              <w:keepNext w:val="0"/>
              <w:keepLines w:val="0"/>
              <w:widowControl/>
              <w:suppressLineNumbers w:val="0"/>
            </w:pPr>
            <w:r>
              <w:t>分割线</w:t>
            </w:r>
          </w:p>
        </w:tc>
        <w:tc>
          <w:tcPr>
            <w:tcW w:w="0" w:type="auto"/>
            <w:shd w:val="clear"/>
            <w:vAlign w:val="center"/>
          </w:tcPr>
          <w:p w14:paraId="44FE6722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#3A444E</w:t>
            </w:r>
            <w:r>
              <w:t xml:space="preserve">（浅）/ </w:t>
            </w:r>
            <w:r>
              <w:rPr>
                <w:rStyle w:val="9"/>
              </w:rPr>
              <w:t>#333C45</w:t>
            </w:r>
            <w:r>
              <w:t>（更浅）</w:t>
            </w:r>
          </w:p>
        </w:tc>
      </w:tr>
      <w:tr w14:paraId="3E8BF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A17A7F">
            <w:pPr>
              <w:pStyle w:val="5"/>
              <w:keepNext w:val="0"/>
              <w:keepLines w:val="0"/>
              <w:widowControl/>
              <w:suppressLineNumbers w:val="0"/>
            </w:pPr>
            <w:r>
              <w:t>顶栏底</w:t>
            </w:r>
          </w:p>
        </w:tc>
        <w:tc>
          <w:tcPr>
            <w:tcW w:w="0" w:type="auto"/>
            <w:shd w:val="clear"/>
            <w:vAlign w:val="center"/>
          </w:tcPr>
          <w:p w14:paraId="287580E9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#2C363F</w:t>
            </w:r>
          </w:p>
        </w:tc>
      </w:tr>
      <w:tr w14:paraId="470E2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27A092">
            <w:pPr>
              <w:pStyle w:val="5"/>
              <w:keepNext w:val="0"/>
              <w:keepLines w:val="0"/>
              <w:widowControl/>
              <w:suppressLineNumbers w:val="0"/>
            </w:pPr>
            <w:r>
              <w:t>顶栏分割线</w:t>
            </w:r>
          </w:p>
        </w:tc>
        <w:tc>
          <w:tcPr>
            <w:tcW w:w="0" w:type="auto"/>
            <w:shd w:val="clear"/>
            <w:vAlign w:val="center"/>
          </w:tcPr>
          <w:p w14:paraId="5603FC71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#3D4852</w:t>
            </w:r>
          </w:p>
        </w:tc>
      </w:tr>
      <w:tr w14:paraId="0B741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190A14">
            <w:pPr>
              <w:pStyle w:val="5"/>
              <w:keepNext w:val="0"/>
              <w:keepLines w:val="0"/>
              <w:widowControl/>
              <w:suppressLineNumbers w:val="0"/>
            </w:pPr>
            <w:r>
              <w:t>主文字</w:t>
            </w:r>
          </w:p>
        </w:tc>
        <w:tc>
          <w:tcPr>
            <w:tcW w:w="0" w:type="auto"/>
            <w:shd w:val="clear"/>
            <w:vAlign w:val="center"/>
          </w:tcPr>
          <w:p w14:paraId="48388599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#E8EDF2</w:t>
            </w:r>
          </w:p>
        </w:tc>
      </w:tr>
      <w:tr w14:paraId="5D46B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09368C">
            <w:pPr>
              <w:pStyle w:val="5"/>
              <w:keepNext w:val="0"/>
              <w:keepLines w:val="0"/>
              <w:widowControl/>
              <w:suppressLineNumbers w:val="0"/>
            </w:pPr>
            <w:r>
              <w:t>次要文字</w:t>
            </w:r>
          </w:p>
        </w:tc>
        <w:tc>
          <w:tcPr>
            <w:tcW w:w="0" w:type="auto"/>
            <w:shd w:val="clear"/>
            <w:vAlign w:val="center"/>
          </w:tcPr>
          <w:p w14:paraId="792B5DE3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#A9B6C2</w:t>
            </w:r>
          </w:p>
        </w:tc>
      </w:tr>
      <w:tr w14:paraId="6674B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DABAEE">
            <w:pPr>
              <w:pStyle w:val="5"/>
              <w:keepNext w:val="0"/>
              <w:keepLines w:val="0"/>
              <w:widowControl/>
              <w:suppressLineNumbers w:val="0"/>
            </w:pPr>
            <w:r>
              <w:t>弱文字 / 标签</w:t>
            </w:r>
          </w:p>
        </w:tc>
        <w:tc>
          <w:tcPr>
            <w:tcW w:w="0" w:type="auto"/>
            <w:shd w:val="clear"/>
            <w:vAlign w:val="center"/>
          </w:tcPr>
          <w:p w14:paraId="1FC42903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#71808F</w:t>
            </w:r>
          </w:p>
        </w:tc>
      </w:tr>
      <w:tr w14:paraId="7DFE1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1CBD0B">
            <w:pPr>
              <w:pStyle w:val="5"/>
              <w:keepNext w:val="0"/>
              <w:keepLines w:val="0"/>
              <w:widowControl/>
              <w:suppressLineNumbers w:val="0"/>
            </w:pPr>
            <w:r>
              <w:t>主色（按钮、选中、进度）</w:t>
            </w:r>
          </w:p>
        </w:tc>
        <w:tc>
          <w:tcPr>
            <w:tcW w:w="0" w:type="auto"/>
            <w:shd w:val="clear"/>
            <w:vAlign w:val="center"/>
          </w:tcPr>
          <w:p w14:paraId="3499AE00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#4A9EE8</w:t>
            </w:r>
            <w:r>
              <w:t xml:space="preserve"> 亮蓝</w:t>
            </w:r>
          </w:p>
        </w:tc>
      </w:tr>
      <w:tr w14:paraId="2C475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7CF216">
            <w:pPr>
              <w:pStyle w:val="5"/>
              <w:keepNext w:val="0"/>
              <w:keepLines w:val="0"/>
              <w:widowControl/>
              <w:suppressLineNumbers w:val="0"/>
            </w:pPr>
            <w:r>
              <w:t>涨 / 赚 / 警告缺料</w:t>
            </w:r>
          </w:p>
        </w:tc>
        <w:tc>
          <w:tcPr>
            <w:tcW w:w="0" w:type="auto"/>
            <w:shd w:val="clear"/>
            <w:vAlign w:val="center"/>
          </w:tcPr>
          <w:p w14:paraId="5B653889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#E8615A</w:t>
            </w:r>
            <w:r>
              <w:t xml:space="preserve"> 红</w:t>
            </w:r>
          </w:p>
        </w:tc>
      </w:tr>
      <w:tr w14:paraId="5EC73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5F98AE">
            <w:pPr>
              <w:pStyle w:val="5"/>
              <w:keepNext w:val="0"/>
              <w:keepLines w:val="0"/>
              <w:widowControl/>
              <w:suppressLineNumbers w:val="0"/>
            </w:pPr>
            <w:r>
              <w:t>跌 / 亏 / 满足 / 安全</w:t>
            </w:r>
          </w:p>
        </w:tc>
        <w:tc>
          <w:tcPr>
            <w:tcW w:w="0" w:type="auto"/>
            <w:shd w:val="clear"/>
            <w:vAlign w:val="center"/>
          </w:tcPr>
          <w:p w14:paraId="4BD5C639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#4FBF7F</w:t>
            </w:r>
            <w:r>
              <w:t xml:space="preserve"> 绿</w:t>
            </w:r>
          </w:p>
        </w:tc>
      </w:tr>
      <w:tr w14:paraId="08808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DB64BA">
            <w:pPr>
              <w:pStyle w:val="5"/>
              <w:keepNext w:val="0"/>
              <w:keepLines w:val="0"/>
              <w:widowControl/>
              <w:suppressLineNumbers w:val="0"/>
            </w:pPr>
            <w:r>
              <w:t>橙色警告（停工）</w:t>
            </w:r>
          </w:p>
        </w:tc>
        <w:tc>
          <w:tcPr>
            <w:tcW w:w="0" w:type="auto"/>
            <w:shd w:val="clear"/>
            <w:vAlign w:val="center"/>
          </w:tcPr>
          <w:p w14:paraId="7D2E8E09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#E8A93C</w:t>
            </w:r>
          </w:p>
        </w:tc>
      </w:tr>
    </w:tbl>
    <w:p w14:paraId="07B5DE71">
      <w:pPr>
        <w:pStyle w:val="4"/>
        <w:bidi w:val="0"/>
      </w:pPr>
      <w:r>
        <w:t>第</w:t>
      </w:r>
      <w:r>
        <w:rPr>
          <w:rFonts w:hint="eastAsia"/>
          <w:lang w:val="en-US" w:eastAsia="zh-CN"/>
        </w:rPr>
        <w:t>二</w:t>
      </w:r>
      <w:r>
        <w:t>部分：游戏主界面</w:t>
      </w:r>
    </w:p>
    <w:p w14:paraId="7F3F7E80">
      <w:pPr>
        <w:pStyle w:val="5"/>
        <w:keepNext w:val="0"/>
        <w:keepLines w:val="0"/>
        <w:widowControl/>
        <w:suppressLineNumbers w:val="0"/>
      </w:pPr>
      <w:r>
        <w:t>这个画面从左到右：中间一大块主内容区，右边一条可收起的侧栏。</w:t>
      </w:r>
    </w:p>
    <w:p w14:paraId="6BD17DF6">
      <w:pPr>
        <w:pStyle w:val="5"/>
        <w:keepNext w:val="0"/>
        <w:keepLines w:val="0"/>
        <w:widowControl/>
        <w:suppressLineNumbers w:val="0"/>
      </w:pPr>
      <w:r>
        <w:t>【</w:t>
      </w:r>
      <w:r>
        <w:rPr>
          <w:rFonts w:hint="eastAsia"/>
          <w:lang w:val="en-US" w:eastAsia="zh-CN"/>
        </w:rPr>
        <w:t>顶栏</w:t>
      </w:r>
      <w:r>
        <w:t>】</w:t>
      </w:r>
    </w:p>
    <w:p w14:paraId="2620B326">
      <w:pPr>
        <w:pStyle w:val="5"/>
        <w:keepNext w:val="0"/>
        <w:keepLines w:val="0"/>
        <w:widowControl/>
        <w:suppressLineNumbers w:val="0"/>
      </w:pPr>
      <w:r>
        <w:t>位置：横贯整个屏幕最上方。永远固定在顶部。</w:t>
      </w:r>
    </w:p>
    <w:p w14:paraId="7A3B6395">
      <w:pPr>
        <w:pStyle w:val="5"/>
        <w:keepNext w:val="0"/>
        <w:keepLines w:val="0"/>
        <w:widowControl/>
        <w:suppressLineNumbers w:val="0"/>
      </w:pPr>
      <w:r>
        <w:t>底色：深蓝灰。文字白色。</w:t>
      </w:r>
    </w:p>
    <w:p w14:paraId="4B44BF5B">
      <w:pPr>
        <w:pStyle w:val="5"/>
        <w:keepNext w:val="0"/>
        <w:keepLines w:val="0"/>
        <w:widowControl/>
        <w:suppressLineNumbers w:val="0"/>
      </w:pPr>
      <w:r>
        <w:t>从左到右排着这些东西：</w:t>
      </w:r>
    </w:p>
    <w:p w14:paraId="20D50A23">
      <w:pPr>
        <w:pStyle w:val="5"/>
        <w:keepNext w:val="0"/>
        <w:keepLines w:val="0"/>
        <w:widowControl/>
        <w:suppressLineNumbers w:val="0"/>
      </w:pPr>
      <w:r>
        <w:t>【往右：一排指标】 这是顶栏的主体，横着排五个指标块，每块之间用一条极淡的竖线隔开。每个指标块的结构统一：上面一行很小的小字标题，下面一行大号的数字。数字全部等宽字体。</w:t>
      </w:r>
    </w:p>
    <w:p w14:paraId="1A44670A">
      <w:pPr>
        <w:pStyle w:val="5"/>
        <w:keepNext w:val="0"/>
        <w:keepLines w:val="0"/>
        <w:widowControl/>
        <w:suppressLineNumbers w:val="0"/>
      </w:pPr>
      <w:r>
        <w:t>五个指标分别是：</w:t>
      </w:r>
    </w:p>
    <w:p w14:paraId="11959CE4">
      <w:pPr>
        <w:pStyle w:val="5"/>
        <w:keepNext w:val="0"/>
        <w:keepLines w:val="0"/>
        <w:widowControl/>
        <w:suppressLineNumbers w:val="0"/>
      </w:pPr>
      <w:r>
        <w:t>第一个，标题"现金"，大数字写成"¥ 42,850"这种带千分位逗号的格式。数字下面再加一行小的字显示本季变化，比如"↑1,284"，涨的红、跌的绿。</w:t>
      </w:r>
    </w:p>
    <w:p w14:paraId="20DF6FA9">
      <w:pPr>
        <w:pStyle w:val="5"/>
        <w:keepNext w:val="0"/>
        <w:keepLines w:val="0"/>
        <w:widowControl/>
        <w:suppressLineNumbers w:val="0"/>
      </w:pPr>
      <w:r>
        <w:t>第二个，标题"等效人口"</w:t>
      </w:r>
    </w:p>
    <w:p w14:paraId="59CA84EC">
      <w:pPr>
        <w:pStyle w:val="5"/>
        <w:keepNext w:val="0"/>
        <w:keepLines w:val="0"/>
        <w:widowControl/>
        <w:suppressLineNumbers w:val="0"/>
      </w:pPr>
      <w:r>
        <w:t>第三个，标题"幸福度"，大数字是幸福度分数比如"58"</w:t>
      </w:r>
      <w:r>
        <w:rPr>
          <w:rFonts w:hint="eastAsia"/>
          <w:lang w:eastAsia="zh-CN"/>
        </w:rPr>
        <w:t>。</w:t>
      </w:r>
      <w:r>
        <w:t>再下面可以放一根极细的横条，条的颜色随幸福度变：很低的时候红，中间蓝，高的时候绿。</w:t>
      </w:r>
    </w:p>
    <w:p w14:paraId="0028E64B">
      <w:pPr>
        <w:pStyle w:val="5"/>
        <w:keepNext w:val="0"/>
        <w:keepLines w:val="0"/>
        <w:widowControl/>
        <w:suppressLineNumbers w:val="0"/>
      </w:pPr>
      <w:r>
        <w:t>第四个，标题"季度效率"</w:t>
      </w:r>
    </w:p>
    <w:p w14:paraId="0650232D">
      <w:pPr>
        <w:pStyle w:val="5"/>
        <w:keepNext w:val="0"/>
        <w:keepLines w:val="0"/>
        <w:widowControl/>
        <w:suppressLineNumbers w:val="0"/>
      </w:pPr>
      <w:r>
        <w:t>第五个，标题"本季盈亏"，大数字是本季的收入减支出，赚了显示"＋¥8,420"，亏了显示"－¥3,100"。赚了红色，亏了绿色。下面一行小字写"收入 ¥18,600 · 支出 ¥10,180"，把收入支出摊开。</w:t>
      </w:r>
    </w:p>
    <w:p w14:paraId="04BCEFA0">
      <w:pPr>
        <w:pStyle w:val="5"/>
        <w:keepNext w:val="0"/>
        <w:keepLines w:val="0"/>
        <w:widowControl/>
        <w:suppressLineNumbers w:val="0"/>
      </w:pPr>
      <w:r>
        <w:t>【最右边：三个按钮】 排在一起。</w:t>
      </w:r>
    </w:p>
    <w:p w14:paraId="7CB6A720">
      <w:pPr>
        <w:pStyle w:val="5"/>
        <w:keepNext w:val="0"/>
        <w:keepLines w:val="0"/>
        <w:widowControl/>
        <w:suppressLineNumbers w:val="0"/>
      </w:pPr>
      <w:r>
        <w:t>第一个，一个描边样式的按钮，上面有个小图标加文字，写着"市场"。点它打开市场面板（后面细说）。 第二个，另一个描边按钮，写着"居民"。点它打开居民粮食面板（后面细说）。 第三个，蓝色实心按钮，写着"结算报告"。这是全屏最醒目的操作入口，要做得比别的按钮大一点、亮一点。</w:t>
      </w:r>
    </w:p>
    <w:p w14:paraId="0DFBB15C">
      <w:pPr>
        <w:pStyle w:val="4"/>
        <w:bidi w:val="0"/>
        <w:rPr>
          <w:rFonts w:hint="eastAsia"/>
        </w:rPr>
      </w:pPr>
      <w:r>
        <w:rPr>
          <w:rFonts w:hint="eastAsia"/>
        </w:rPr>
        <w:t>中间的地块网格地图</w:t>
      </w:r>
    </w:p>
    <w:p w14:paraId="0DE13B12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【整体样子】</w:t>
      </w:r>
    </w:p>
    <w:p w14:paraId="66FB67B6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中间这块区域里，铺着一片方块地。像《文明》或者《模拟城市》里俯视看到的那种地块排布，但是二维的方块，不是三维建筑。</w:t>
      </w:r>
    </w:p>
    <w:p w14:paraId="2026A076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一开始大概是 3 行 4 列，一共 12 格。格子大小一致，摆得整齐，格子之间留一条细缝，能看出是各自独立的块。</w:t>
      </w:r>
    </w:p>
    <w:p w14:paraId="75E6FAC5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【每块地长什么样】</w:t>
      </w:r>
    </w:p>
    <w:p w14:paraId="6DA1B156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农业地块（同属绿色色系，逐级加深、丰富细节）</w:t>
      </w:r>
    </w:p>
    <w:p w14:paraId="424F62E0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农业一级：图标尺寸最小。底色是浅嫩草绿色，画有简单弯曲的浅土黄色田埂，田地里零散几丛短禾苗，角落立着一个简易稻草人，没有多余设施，造型简约干净。</w:t>
      </w:r>
    </w:p>
    <w:p w14:paraId="0EA1B33B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农业二级：图标中等大小。底色是中度饱和草绿色，田块分割整齐，一条浅蓝色细长水渠横穿田地，一侧搭着一间小型白色坡顶温室，禾苗成片排布，细节比一级丰富。</w:t>
      </w:r>
    </w:p>
    <w:p w14:paraId="56F592B0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农业三级：图标尺寸最大。底色为深草绿，多层错落梯田，田边生长几棵矮果树，一侧矗立一座原木色尖顶粮仓，地面摆放一台小型农机，田地元素堆叠，画面饱满。</w:t>
      </w:r>
    </w:p>
    <w:p w14:paraId="3F0F5E37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工业地块（同属灰蓝冷色系，逐级加深、增加工业构件）</w:t>
      </w:r>
    </w:p>
    <w:p w14:paraId="646A03C2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工业一级：图标尺寸最小。底色浅灰蓝，一座低矮单坡小厂房，屋顶伸出一根细细的烟囱，墙体轮廓简单，没有额外附属设施。</w:t>
      </w:r>
    </w:p>
    <w:p w14:paraId="0A5893DD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工业二级：图标中等大小。底色中度灰蓝，主体是中型长方形厂房，旁边搭配小型变电站、横向传送带与圆柱形储油罐，管线简单连接各个构件，结构更完整。</w:t>
      </w:r>
    </w:p>
    <w:p w14:paraId="10C24ED7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工业三级：图标尺寸最大。底色深灰蓝，主体高大高炉与连片重型厂房，多根粗细不一烟囱，地面停放物流卡车，管线交错，构件繁多，厚重工业感强烈。</w:t>
      </w:r>
    </w:p>
    <w:p w14:paraId="3A898CDB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服务业地块（同属暖橙 - 浅紫色系，逐级提亮加高建筑）</w:t>
      </w:r>
    </w:p>
    <w:p w14:paraId="4B059E90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服务业一级：图标尺寸最小。底色浅暖橙色，单层小平房商铺，带有透明橱窗，旁边立一块简易公交站牌，造型小巧。</w:t>
      </w:r>
    </w:p>
    <w:p w14:paraId="729D7476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服务业二级：图标中等大小。底色中度暖橙，一组多层楼宇，包含购物中心与矮办公楼，建筑外立面有方块窗户，墙面印有简约店铺标识，形成小型街区。</w:t>
      </w:r>
    </w:p>
    <w:p w14:paraId="3F993123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服务业三级：图标尺寸最大。底色偏紫调亮橙，多栋玻璃幕墙摩天大楼，搭配酒店建筑，楼体点缀淡淡的霓虹发光线条，下方有道路枢纽，建筑群密集繁华。</w:t>
      </w:r>
    </w:p>
    <w:p w14:paraId="58FFAB57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资源地块（新增，棕褐色大地色系，同一色系，逐级丰富矿产 / 开采设施）</w:t>
      </w:r>
    </w:p>
    <w:p w14:paraId="6ADD5F00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资源一级：图标尺寸最小。底色浅土棕，地面裸露几块大小不一的岩石矿点，地面有少量碎石裂纹，仅有简单的小矿坑凹陷，没有开采设备。</w:t>
      </w:r>
    </w:p>
    <w:p w14:paraId="07CFD784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资源二级：图标中等大小。底色中度土棕，扩大的露天矿坑，坑边放置一台小型挖掘机，旁边堆起矿石料堆，简易木质支架，地面车辙纹路清晰。</w:t>
      </w:r>
    </w:p>
    <w:p w14:paraId="4206F78B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资源三级：图标尺寸最大。底色深土棕，大型露天采矿场，高耸碎石料塔，大型采矿机械，矿石传送带，临时板房，矿坑分层，设备繁多，开采规模宏大。</w:t>
      </w:r>
    </w:p>
    <w:p w14:paraId="58C83FE1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统一视觉分级规则（纯文字）</w:t>
      </w:r>
    </w:p>
    <w:p w14:paraId="69A80EA9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一级图标：整体尺寸最小，造型极简，元素数量少，饱和度偏低，轮廓线条简单。</w:t>
      </w:r>
    </w:p>
    <w:p w14:paraId="0202E1EC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二级图标：中等尺寸，主体结构完整，增加配套附属设施，色彩饱和度适中，细节明显多于一级。</w:t>
      </w:r>
    </w:p>
    <w:p w14:paraId="70B3CAFC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三级图标：尺寸最大，由多个物体组合成建筑群 / 大型场地，元素最多，饱和度最高，线条细节丰富，视觉冲击力最强【地块的几种状态，视觉上要能区分】</w:t>
      </w:r>
    </w:p>
    <w:p w14:paraId="1C6EA955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第一种：正常经营中。方块正常亮度，资源条正常显示。</w:t>
      </w:r>
    </w:p>
    <w:p w14:paraId="5175FE97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第二种：在建中。方块上覆盖一层半透明的浅色蒙层，中间显示一个转圈的小图标和一行字"建设中 · 剩 2 季"，还可以在方块底部加一根细的工期进度条。</w:t>
      </w:r>
    </w:p>
    <w:p w14:paraId="4F76F142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第三种：停工或维护不满足。方块左上角挂一个小的橙色三角警告标，方块边框变成橙黄色虚线。</w:t>
      </w:r>
    </w:p>
    <w:p w14:paraId="1F428F2E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第四种：荒地（未开发）。方块整体偏灰，底色更淡，图标是灰的，中间或者角落显示一个"＋"号，暗示"这里可以开发"。鼠标移上去的时候，方块微微亮一点，光标变成手型，告诉玩家这里能点。</w:t>
      </w:r>
    </w:p>
    <w:p w14:paraId="5C511F20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第五种：不属于我、但我能买的地方。如果地图上有别的地方的地块，用一个中性的浅灰底，上面标一个小的锁形图标或者标记，表示暂时不属于你。</w:t>
      </w:r>
    </w:p>
    <w:p w14:paraId="118E213E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第六种：鼠标悬停。任何</w:t>
      </w:r>
      <w:r>
        <w:rPr>
          <w:rFonts w:hint="eastAsia"/>
          <w:lang w:val="en-US" w:eastAsia="zh-CN"/>
        </w:rPr>
        <w:t>可以点的</w:t>
      </w:r>
      <w:r>
        <w:rPr>
          <w:rFonts w:hint="eastAsia"/>
        </w:rPr>
        <w:t>地块被鼠标划过时，方块整体稍微上浮一点点，描边变成主色蓝。</w:t>
      </w:r>
    </w:p>
    <w:p w14:paraId="234C8F1F">
      <w:pPr>
        <w:pStyle w:val="5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第七种：为了美化整体页面补充的地块，不可以点   </w:t>
      </w:r>
    </w:p>
    <w:p w14:paraId="081D3874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【地块上的额外信息】</w:t>
      </w:r>
    </w:p>
    <w:p w14:paraId="79EB3490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鼠标悬停在某块地上时，除了方块本身变化，还要浮出一个小浮层，快速显示这块地的关键信息：</w:t>
      </w:r>
    </w:p>
    <w:p w14:paraId="5C8E2248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地块名称和类型等级；</w:t>
      </w:r>
    </w:p>
    <w:p w14:paraId="0EB2E9A7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能生产什么商品、当前单价；</w:t>
      </w:r>
    </w:p>
    <w:p w14:paraId="5407FEAC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本季度计划产量；</w:t>
      </w:r>
    </w:p>
    <w:p w14:paraId="740822B5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如果有问题，显示问题提示（比如"缺原料 D"）。</w:t>
      </w:r>
    </w:p>
    <w:p w14:paraId="46CB625D">
      <w:pPr>
        <w:pStyle w:val="5"/>
        <w:keepNext w:val="0"/>
        <w:keepLines w:val="0"/>
        <w:widowControl/>
        <w:suppressLineNumbers w:val="0"/>
        <w:rPr>
          <w:rFonts w:hint="eastAsia"/>
        </w:rPr>
      </w:pPr>
    </w:p>
    <w:p w14:paraId="16A8588D">
      <w:pPr>
        <w:pStyle w:val="5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【地块列表之外，还要有图例】</w:t>
      </w:r>
    </w:p>
    <w:p w14:paraId="7BB5EDA4">
      <w:pPr>
        <w:pStyle w:val="5"/>
        <w:keepNext w:val="0"/>
        <w:keepLines w:val="0"/>
        <w:widowControl/>
        <w:suppressLineNumbers w:val="0"/>
      </w:pPr>
      <w:r>
        <w:rPr>
          <w:rFonts w:hint="eastAsia"/>
        </w:rPr>
        <w:t>在地块区的角落，放一个小小的图例，说明各种颜色代表什么地块类型。因为颜色很淡，不熟悉的人可能分不清。图例做成一行小色块加文字。</w:t>
      </w:r>
    </w:p>
    <w:p w14:paraId="05C3DAE2">
      <w:pPr>
        <w:pStyle w:val="5"/>
        <w:keepNext w:val="0"/>
        <w:keepLines w:val="0"/>
        <w:widowControl/>
        <w:suppressLineNumbers w:val="0"/>
      </w:pPr>
    </w:p>
    <w:p w14:paraId="20F7558F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62159E"/>
    <w:rsid w:val="5F62159E"/>
    <w:rsid w:val="7EDD3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6735</Words>
  <Characters>7526</Characters>
  <Lines>0</Lines>
  <Paragraphs>0</Paragraphs>
  <TotalTime>168</TotalTime>
  <ScaleCrop>false</ScaleCrop>
  <LinksUpToDate>false</LinksUpToDate>
  <CharactersWithSpaces>7663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2026-10-14T14:33:00Z</dcterms:created>
  <dc:creator>WPS_1698417110</dc:creator>
  <cp:lastModifiedBy>WPS_1698417110</cp:lastModifiedBy>
  <dcterms:modified xsi:type="dcterms:W3CDTF">2026-10-15T15:42:09Z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90FE8BAD5AD845B1817BFED387AC721B_11</vt:lpwstr>
  </property>
  <property fmtid="{D5CDD505-2E9C-101B-9397-08002B2CF9AE}" pid="4" name="KSOTemplateDocerSaveRecord">
    <vt:lpwstr>eyJoZGlkIjoiNGFjZjNhMTJlNGNmM2ZjYzIzMjQxN2ZiM2ZlZjIzY2QiLCJ1c2VySWQiOiIxNTU0MTAyNTI3In0=</vt:lpwstr>
  </property>
</Properties>
</file>