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56"/>
          <w:szCs w:val="56"/>
        </w:rPr>
        <w:t xml:space="preserve">台灣ETF投資回測分析系統</w:t>
      </w:r>
    </w:p>
    <w:p>
      <w:pPr>
        <w:spacing w:after="96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程式運作架構與邏輯</w:t>
      </w:r>
    </w:p>
    <w:p>
      <w:pPr>
        <w:spacing w:after="1440"/>
        <w:jc w:val="center"/>
      </w:pPr>
      <w:r>
        <w:rPr>
          <w:rFonts w:ascii="Arial" w:cs="Arial" w:eastAsia="Arial" w:hAnsi="Arial"/>
          <w:color w:val="767676"/>
          <w:sz w:val="28"/>
          <w:szCs w:val="28"/>
        </w:rPr>
        <w:t xml:space="preserve">Technical Documentation v2.0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2026年2月</w:t>
      </w:r>
    </w:p>
    <w:p>
      <w:r>
        <w:br w:type="page"/>
      </w:r>
    </w:p>
    <w:p>
      <w:pPr>
        <w:pStyle w:val="Heading1"/>
      </w:pPr>
      <w:r>
        <w:t xml:space="preserve">1. 系統整體架構</w:t>
      </w:r>
    </w:p>
    <w:p>
      <w:pPr>
        <w:pStyle w:val="Heading2"/>
      </w:pPr>
      <w:r>
        <w:t xml:space="preserve">1.1 三層架構設計</w:t>
      </w:r>
    </w:p>
    <w:p>
      <w:pPr>
        <w:spacing w:after="360"/>
      </w:pPr>
      <w:r>
        <w:rPr>
          <w:rFonts w:ascii="Microsoft JhengHei" w:cs="Microsoft JhengHei" w:eastAsia="Microsoft JhengHei" w:hAnsi="Microsoft JhengHei"/>
        </w:rPr>
        <w:t xml:space="preserve">系統採用經典的MVC三層架構，分為前端展示層、業務邏輯層和資料層。各層職責明確，便於維護和擴展。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架構層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核心元件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前端層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HTML + JavaScript + Chart.js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使用者介面、參數輸入、結果視覺化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邏輯層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Flask + backtest.py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API路由、回測計算、推估分析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資料層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data_fetcher.py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資料獲取、快取管理、資料標準化</w:t>
            </w:r>
          </w:p>
        </w:tc>
      </w:tr>
    </w:tbl>
    <w:p>
      <w:pPr>
        <w:pStyle w:val="Heading2"/>
      </w:pPr>
      <w:r>
        <w:t xml:space="preserve">1.2 核心模組說明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模組名稱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功能描述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Flask應用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app.py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提供Web服務、API路由管理、請求處理、快取控制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資料獲取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data_fetcher.py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從多來源獲取ETF資料、管理快取、資料標準化處理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回測引擎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backtest.py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執行歷史回測、未來推估、財務計算、達成判定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前端介面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index.html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使用者介面、圖表渲染、互動邏輯、結果展示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資料流程與處理</w:t>
      </w:r>
    </w:p>
    <w:p>
      <w:pPr>
        <w:pStyle w:val="Heading2"/>
      </w:pPr>
      <w:r>
        <w:t xml:space="preserve">2.1 資料來源策略</w:t>
      </w:r>
    </w:p>
    <w:p>
      <w:pPr>
        <w:spacing w:after="240"/>
      </w:pPr>
      <w:r>
        <w:rPr>
          <w:rFonts w:ascii="Microsoft JhengHei" w:cs="Microsoft JhengHei" w:eastAsia="Microsoft JhengHei" w:hAnsi="Microsoft JhengHei"/>
        </w:rPr>
        <w:t xml:space="preserve">系統採用三層備援機制，確保在任何情況下都能獲取所需資料：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優先級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資料來源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特點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使用時機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第一優先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GitHub靜態資料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快速、穩定、完整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首選方案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第二優先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yfinance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即時、歷史完整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GitHub失敗時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第三優先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模擬資料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確保可用性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所有來源失敗時</w:t>
            </w:r>
          </w:p>
        </w:tc>
      </w:tr>
    </w:tbl>
    <w:p>
      <w:pPr>
        <w:pStyle w:val="Heading2"/>
      </w:pPr>
      <w:r>
        <w:t xml:space="preserve">2.2 資料處理流程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資料獲取的完整步驟：</w:t>
      </w:r>
    </w:p>
    <w:p>
      <w:pPr>
        <w:spacing w:after="80"/>
      </w:pPr>
      <w:r>
        <w:t xml:space="preserve">1. 檢查記憶體快取是否存在</w:t>
      </w:r>
    </w:p>
    <w:p>
      <w:pPr>
        <w:spacing w:after="80"/>
      </w:pPr>
      <w:r>
        <w:t xml:space="preserve">2. 檢查磁碟快取是否存在（/tmp/data）</w:t>
      </w:r>
    </w:p>
    <w:p>
      <w:pPr>
        <w:spacing w:after="80"/>
      </w:pPr>
      <w:r>
        <w:t xml:space="preserve">3. 嘗試從GitHub獲取最新資料</w:t>
      </w:r>
    </w:p>
    <w:p>
      <w:pPr>
        <w:spacing w:after="80"/>
      </w:pPr>
      <w:r>
        <w:t xml:space="preserve">4. GitHub失敗時使用yfinance API</w:t>
      </w:r>
    </w:p>
    <w:p>
      <w:pPr>
        <w:spacing w:after="80"/>
      </w:pPr>
      <w:r>
        <w:t xml:space="preserve">5. 所有來源失敗時生成模擬資料</w:t>
      </w:r>
    </w:p>
    <w:p>
      <w:pPr>
        <w:spacing w:after="80"/>
      </w:pPr>
      <w:r>
        <w:t xml:space="preserve">6. 資料標準化處理（統一格式、欄位名稱）</w:t>
      </w:r>
    </w:p>
    <w:p>
      <w:pPr>
        <w:spacing w:after="80"/>
      </w:pPr>
      <w:r>
        <w:t xml:space="preserve">7. 儲存至記憶體快取和磁碟快取</w:t>
      </w:r>
    </w:p>
    <w:p>
      <w:pPr>
        <w:spacing w:after="360"/>
      </w:pPr>
      <w:r>
        <w:t xml:space="preserve">8. 回傳處理後的DataFrame</w:t>
      </w:r>
    </w:p>
    <w:p>
      <w:r>
        <w:br w:type="page"/>
      </w:r>
    </w:p>
    <w:p>
      <w:pPr>
        <w:pStyle w:val="Heading1"/>
      </w:pPr>
      <w:r>
        <w:t xml:space="preserve">3. 投資回測演算法</w:t>
      </w:r>
    </w:p>
    <w:p>
      <w:pPr>
        <w:pStyle w:val="Heading2"/>
      </w:pPr>
      <w:r>
        <w:t xml:space="preserve">3.1 回測起點確定</w:t>
      </w:r>
    </w:p>
    <w:p>
      <w:pPr>
        <w:spacing w:after="360"/>
      </w:pPr>
      <w:r>
        <w:rPr>
          <w:rFonts w:ascii="Microsoft JhengHei" w:cs="Microsoft JhengHei" w:eastAsia="Microsoft JhengHei" w:hAnsi="Microsoft JhengHei"/>
        </w:rPr>
        <w:t xml:space="preserve">系統會找出投資組合中最晚上市的ETF，以該日期作為回測起點，確保所有ETF在回測期間都有資料。</w:t>
      </w:r>
    </w:p>
    <w:p>
      <w:pPr>
        <w:pStyle w:val="Heading2"/>
      </w:pPr>
      <w:r>
        <w:t xml:space="preserve">3.2 每月投資流程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每個月執行以下步驟：</w:t>
      </w:r>
    </w:p>
    <w:p>
      <w:pPr>
        <w:spacing w:after="80"/>
        <w:ind w:left="360"/>
      </w:pPr>
      <w:r>
        <w:t xml:space="preserve">步驟1：投入定期定額金額</w:t>
      </w:r>
    </w:p>
    <w:p>
      <w:pPr>
        <w:spacing w:after="80"/>
        <w:ind w:left="360"/>
      </w:pPr>
      <w:r>
        <w:t xml:space="preserve">步驟2：收取當月配息（如有除息日）</w:t>
      </w:r>
    </w:p>
    <w:p>
      <w:pPr>
        <w:spacing w:after="80"/>
        <w:ind w:left="360"/>
      </w:pPr>
      <w:r>
        <w:t xml:space="preserve">步驟3：依照權重分配現金</w:t>
      </w:r>
    </w:p>
    <w:p>
      <w:pPr>
        <w:spacing w:after="80"/>
        <w:ind w:left="360"/>
      </w:pPr>
      <w:r>
        <w:t xml:space="preserve">步驟4：以當月收盤價買入ETF（1000股為單位）</w:t>
      </w:r>
    </w:p>
    <w:p>
      <w:pPr>
        <w:spacing w:after="360"/>
        <w:ind w:left="360"/>
      </w:pPr>
      <w:r>
        <w:t xml:space="preserve">步驟5：計算當月資產總值（持股市值+現金）</w:t>
      </w:r>
    </w:p>
    <w:p>
      <w:pPr>
        <w:pStyle w:val="Heading2"/>
      </w:pPr>
      <w:r>
        <w:t xml:space="preserve">3.3 年度結算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每年結算以下指標：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指標名稱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計算方式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年度投入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當年度每月定期定額的總和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年度股利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當年度收到的所有配息總和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年度報酬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年末資產 - 年初資產 - 年度投入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年末資產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持股市值 + 現金餘額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通膨門檻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目標金額 × (1 + 3%)^年數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歷史統計計算</w:t>
      </w:r>
    </w:p>
    <w:p>
      <w:pPr>
        <w:spacing w:after="240"/>
      </w:pPr>
      <w:r>
        <w:rPr>
          <w:rFonts w:ascii="Microsoft JhengHei" w:cs="Microsoft JhengHei" w:eastAsia="Microsoft JhengHei" w:hAnsi="Microsoft JhengHei"/>
        </w:rPr>
        <w:t xml:space="preserve">系統會計算每檔ETF的歷史統計指標，作為未來推估的基礎：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統計指標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計算公式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年化成長率(CAGR)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(期末價 ÷ 期初價)^(1÷年數) - 1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平均股利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歷史配息總額 ÷ 配息次數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年均配息次數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總配息次數 ÷ 上市年數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最新價格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最近一個交易日的收盤價</w:t>
            </w:r>
          </w:p>
        </w:tc>
      </w:tr>
    </w:tbl>
    <w:p>
      <w:pPr>
        <w:pStyle w:val="Heading2"/>
      </w:pPr>
      <w:r>
        <w:t xml:space="preserve">3.5 未來推估邏輯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未來推估使用歷史統計指標進行預測：</w:t>
      </w:r>
    </w:p>
    <w:p>
      <w:pPr>
        <w:spacing w:after="80"/>
      </w:pPr>
      <w:r>
        <w:t xml:space="preserve">• 股價成長：使用歷史CAGR推估未來價格</w:t>
      </w:r>
    </w:p>
    <w:p>
      <w:pPr>
        <w:spacing w:after="80"/>
      </w:pPr>
      <w:r>
        <w:t xml:space="preserve">• 配息收入：使用平均股利和配息頻率推估</w:t>
      </w:r>
    </w:p>
    <w:p>
      <w:pPr>
        <w:spacing w:after="80"/>
      </w:pPr>
      <w:r>
        <w:t xml:space="preserve">• 投資行為：維持相同的定期定額和權重配置</w:t>
      </w:r>
    </w:p>
    <w:p>
      <w:pPr>
        <w:spacing w:after="80"/>
      </w:pPr>
      <w:r>
        <w:t xml:space="preserve">• 通膨調整：每年以3%調整退休門檻</w:t>
      </w:r>
    </w:p>
    <w:p>
      <w:pPr>
        <w:spacing w:after="360"/>
      </w:pPr>
      <w:r>
        <w:t xml:space="preserve">• 推估上限：最多推估30年</w:t>
      </w:r>
    </w:p>
    <w:p>
      <w:r>
        <w:br w:type="page"/>
      </w:r>
    </w:p>
    <w:p>
      <w:pPr>
        <w:pStyle w:val="Heading1"/>
      </w:pPr>
      <w:r>
        <w:t xml:space="preserve">4. API設計與介面</w:t>
      </w:r>
    </w:p>
    <w:p>
      <w:pPr>
        <w:pStyle w:val="Heading2"/>
      </w:pPr>
      <w:r>
        <w:t xml:space="preserve">4.1 主要API端點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API路徑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功能說明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返回前端HTML頁面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/api/fetch_data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獲取指定ETF的股價與配息資料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/api/backtest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執行投資回測與未來推估計算，返回完整分析結果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/api/download_csv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生成並下載年度投資報表CSV檔案</w:t>
            </w:r>
          </w:p>
        </w:tc>
      </w:tr>
    </w:tbl>
    <w:p>
      <w:pPr>
        <w:pStyle w:val="Heading2"/>
      </w:pPr>
      <w:r>
        <w:t xml:space="preserve">4.2 回測API參數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參數名稱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資料類型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整數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目前年齡（18-80歲）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initial_capital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數值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啟動資金（萬元）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monthly_investment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數值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每月定期定額（萬元）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target_monthly_expense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數值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目標退休月支出（現值/萬元）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字串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投資策略（conservative/moderate/aggressive）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快取機制</w:t>
      </w:r>
    </w:p>
    <w:p>
      <w:pPr>
        <w:pStyle w:val="Heading2"/>
      </w:pPr>
      <w:r>
        <w:t xml:space="preserve">5.1 三層快取架構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快取層級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儲存位置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生命週期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L1記憶體快取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Python字典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程序存活期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熱資料、頻繁查詢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L2磁碟快取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/tmp/data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重啟前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股價、配息資料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L3結果快取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Python字典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程序存活期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回測結果</w:t>
            </w:r>
          </w:p>
        </w:tc>
      </w:tr>
    </w:tbl>
    <w:p>
      <w:pPr>
        <w:pStyle w:val="Heading2"/>
      </w:pPr>
      <w:r>
        <w:t xml:space="preserve">5.2 快取策略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快取讀取順序：</w:t>
      </w:r>
    </w:p>
    <w:p>
      <w:pPr>
        <w:spacing w:after="80"/>
        <w:ind w:left="360"/>
      </w:pPr>
      <w:r>
        <w:t xml:space="preserve">1. 檢查記憶體快取（最快）</w:t>
      </w:r>
    </w:p>
    <w:p>
      <w:pPr>
        <w:spacing w:after="80"/>
        <w:ind w:left="360"/>
      </w:pPr>
      <w:r>
        <w:t xml:space="preserve">2. 檢查磁碟快取（次快）</w:t>
      </w:r>
    </w:p>
    <w:p>
      <w:pPr>
        <w:spacing w:after="80"/>
        <w:ind w:left="360"/>
      </w:pPr>
      <w:r>
        <w:t xml:space="preserve">3. 從網路獲取資料（較慢）</w:t>
      </w:r>
    </w:p>
    <w:p>
      <w:pPr>
        <w:spacing w:after="360"/>
        <w:ind w:left="360"/>
      </w:pPr>
      <w:r>
        <w:t xml:space="preserve">4. 資料寫回記憶體和磁碟快取</w:t>
      </w:r>
    </w:p>
    <w:p>
      <w:r>
        <w:br w:type="page"/>
      </w:r>
    </w:p>
    <w:p>
      <w:pPr>
        <w:pStyle w:val="Heading1"/>
      </w:pPr>
      <w:r>
        <w:t xml:space="preserve">6. 投資策略配置</w:t>
      </w:r>
    </w:p>
    <w:p>
      <w:pPr>
        <w:pStyle w:val="Heading2"/>
      </w:pPr>
      <w:r>
        <w:t xml:space="preserve">6.1 三種策略對比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策略類型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提領率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ETF組合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權重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保守型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00878+00713+00679B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40%+30%+30%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穩健型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00919+00929+0056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35%+40%+25%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積極型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006208+00929+00915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30%+50%+20%</w:t>
            </w:r>
          </w:p>
        </w:tc>
      </w:tr>
    </w:tbl>
    <w:p>
      <w:pPr>
        <w:pStyle w:val="Heading2"/>
      </w:pPr>
      <w:r>
        <w:t xml:space="preserve">6.2 策略特性說明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保守型（4%提領率）：</w:t>
      </w:r>
    </w:p>
    <w:p>
      <w:pPr>
        <w:spacing w:after="240"/>
      </w:pPr>
      <w:r>
        <w:t xml:space="preserve">重視資本保全與穩定配息，包含債券ETF降低波動，適合接近退休或風險承受度較低的投資人。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穩健型（6%提領率）：</w:t>
      </w:r>
    </w:p>
    <w:p>
      <w:pPr>
        <w:spacing w:after="240"/>
      </w:pPr>
      <w:r>
        <w:t xml:space="preserve">在高股息與成長型ETF間取得平衡，兼顧配息收入與資本增值，適合中壯年投資人。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積極型（8%提領率）：</w:t>
      </w:r>
    </w:p>
    <w:p>
      <w:pPr>
        <w:spacing w:after="360"/>
      </w:pPr>
      <w:r>
        <w:t xml:space="preserve">以成長型ETF為主，追求較高資本增值，適合年輕且風險承受度高的投資人。</w:t>
      </w:r>
    </w:p>
    <w:p>
      <w:r>
        <w:br w:type="page"/>
      </w:r>
    </w:p>
    <w:p>
      <w:pPr>
        <w:pStyle w:val="Heading1"/>
      </w:pPr>
      <w:r>
        <w:t xml:space="preserve">7. 部署架構</w:t>
      </w:r>
    </w:p>
    <w:p>
      <w:pPr>
        <w:pStyle w:val="Heading2"/>
      </w:pPr>
      <w:r>
        <w:t xml:space="preserve">7.1 技術堆疊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技術類別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使用技術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版本/說明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Web框架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Flask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2.3.0 - Python輕量級Web框架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資料處理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Pandas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2.0.0 - 資料分析與處理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數值計算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1.24.0 - 科學計算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金融資料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yfinance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0.2.18 - Yahoo Finance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生產伺服器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Gunicorn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21.2.0 - WSGI HTTP伺服器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前端UI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3.x - CSS框架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圖表視覺化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Chart.js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3.x - JavaScript圖表庫</w:t>
            </w:r>
          </w:p>
        </w:tc>
      </w:tr>
    </w:tbl>
    <w:p>
      <w:pPr>
        <w:pStyle w:val="Heading2"/>
      </w:pPr>
      <w:r>
        <w:t xml:space="preserve">7.2 Render平台部署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部署特點：</w:t>
      </w:r>
    </w:p>
    <w:p>
      <w:pPr>
        <w:spacing w:after="80"/>
      </w:pPr>
      <w:r>
        <w:t xml:space="preserve">• 使用Gunicorn作為WSGI伺服器</w:t>
      </w:r>
    </w:p>
    <w:p>
      <w:pPr>
        <w:spacing w:after="80"/>
      </w:pPr>
      <w:r>
        <w:t xml:space="preserve">• 配置2個工作程序（workers）</w:t>
      </w:r>
    </w:p>
    <w:p>
      <w:pPr>
        <w:spacing w:after="80"/>
      </w:pPr>
      <w:r>
        <w:t xml:space="preserve">• 每個工作程序4個執行緒（threads）</w:t>
      </w:r>
    </w:p>
    <w:p>
      <w:pPr>
        <w:spacing w:after="80"/>
      </w:pPr>
      <w:r>
        <w:t xml:space="preserve">• 超時設定120秒</w:t>
      </w:r>
    </w:p>
    <w:p>
      <w:pPr>
        <w:spacing w:after="80"/>
      </w:pPr>
      <w:r>
        <w:t xml:space="preserve">• 無流量時自動休眠節省資源</w:t>
      </w:r>
    </w:p>
    <w:p>
      <w:pPr>
        <w:spacing w:after="360"/>
      </w:pPr>
      <w:r>
        <w:t xml:space="preserve">• 記憶體快取應對重啟後資料需求</w:t>
      </w:r>
    </w:p>
    <w:p>
      <w:r>
        <w:br w:type="page"/>
      </w:r>
    </w:p>
    <w:p>
      <w:pPr>
        <w:pStyle w:val="Heading1"/>
      </w:pPr>
      <w:r>
        <w:t xml:space="preserve">8. 系統優勢與特色</w:t>
      </w:r>
    </w:p>
    <w:p>
      <w:pPr>
        <w:pStyle w:val="Heading2"/>
      </w:pPr>
      <w:r>
        <w:t xml:space="preserve">8.1 核心優勢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E75B6"/>
        </w:rPr>
        <w:t xml:space="preserve">1. 真實性</w:t>
      </w:r>
    </w:p>
    <w:p>
      <w:pPr>
        <w:spacing w:after="240"/>
      </w:pPr>
      <w:r>
        <w:t xml:space="preserve">使用真實歷史資料回測，而非理論模型或固定報酬率假設。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E75B6"/>
        </w:rPr>
        <w:t xml:space="preserve">2. 保守推估</w:t>
      </w:r>
    </w:p>
    <w:p>
      <w:pPr>
        <w:spacing w:after="240"/>
      </w:pPr>
      <w:r>
        <w:t xml:space="preserve">未來推估基於歷史統計指標，避免過度樂觀的預測。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E75B6"/>
        </w:rPr>
        <w:t xml:space="preserve">3. 通膨調整</w:t>
      </w:r>
    </w:p>
    <w:p>
      <w:pPr>
        <w:spacing w:after="240"/>
      </w:pPr>
      <w:r>
        <w:t xml:space="preserve">退休門檻考慮3%年通膨率，確保實際購買力不因通膨降低。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E75B6"/>
        </w:rPr>
        <w:t xml:space="preserve">4. 高可用性</w:t>
      </w:r>
    </w:p>
    <w:p>
      <w:pPr>
        <w:spacing w:after="240"/>
      </w:pPr>
      <w:r>
        <w:t xml:space="preserve">三層備援機制確保在任何情況下系統都能正常運作。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E75B6"/>
        </w:rPr>
        <w:t xml:space="preserve">5. 完整模擬</w:t>
      </w:r>
    </w:p>
    <w:p>
      <w:pPr>
        <w:spacing w:after="360"/>
      </w:pPr>
      <w:r>
        <w:t xml:space="preserve">完整模擬配息再投資、定期定額、台股交易規則（1000股單位）。</w:t>
      </w:r>
    </w:p>
    <w:p>
      <w:pPr>
        <w:pStyle w:val="Heading2"/>
      </w:pPr>
      <w:r>
        <w:t xml:space="preserve">8.2 設計亮點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設計特色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雙段式分析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清楚區分歷史實際與未來推估，讓使用者了解預測的不確定性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多層快取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記憶體、磁碟、結果三層快取，平衡速度與可靠性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多策略支援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提供保守、穩健、積極三種策略，適合不同風險偏好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視覺化呈現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使用Chart.js圖表清楚展示資產成長趨勢與通膨門檻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彈性部署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</w:rPr>
              <w:t xml:space="preserve">支援本地開發與雲端部署，適配Render平台特性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資料流程圖</w:t>
      </w:r>
    </w:p>
    <w:p>
      <w:pPr>
        <w:pStyle w:val="Heading2"/>
      </w:pPr>
      <w:r>
        <w:t xml:space="preserve">9.1 完整請求流程</w:t>
      </w:r>
    </w:p>
    <w:p>
      <w:pPr>
        <w:spacing w:after="24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使用者操作 → 前端 → API → 資料層 → 回測引擎 → 結果返回</w:t>
      </w:r>
    </w:p>
    <w:p>
      <w:pPr>
        <w:spacing w:after="80"/>
      </w:pPr>
      <w:r>
        <w:t xml:space="preserve">步驟1：使用者在前端介面輸入參數</w:t>
      </w:r>
    </w:p>
    <w:p>
      <w:pPr>
        <w:spacing w:after="80"/>
      </w:pPr>
      <w:r>
        <w:t xml:space="preserve">步驟2：JavaScript驗證參數並發送AJAX請求</w:t>
      </w:r>
    </w:p>
    <w:p>
      <w:pPr>
        <w:spacing w:after="80"/>
      </w:pPr>
      <w:r>
        <w:t xml:space="preserve">步驟3：Flask接收請求，檢查快取</w:t>
      </w:r>
    </w:p>
    <w:p>
      <w:pPr>
        <w:spacing w:after="80"/>
      </w:pPr>
      <w:r>
        <w:t xml:space="preserve">步驟4：data_fetcher.py獲取ETF資料</w:t>
      </w:r>
    </w:p>
    <w:p>
      <w:pPr>
        <w:spacing w:after="80"/>
      </w:pPr>
      <w:r>
        <w:t xml:space="preserve">步驟5：backtest.py執行回測與推估計算</w:t>
      </w:r>
    </w:p>
    <w:p>
      <w:pPr>
        <w:spacing w:after="80"/>
      </w:pPr>
      <w:r>
        <w:t xml:space="preserve">步驟6：格式化結果並儲存快取</w:t>
      </w:r>
    </w:p>
    <w:p>
      <w:pPr>
        <w:spacing w:after="80"/>
      </w:pPr>
      <w:r>
        <w:t xml:space="preserve">步驟7：返回JSON資料給前端</w:t>
      </w:r>
    </w:p>
    <w:p>
      <w:pPr>
        <w:spacing w:after="80"/>
      </w:pPr>
      <w:r>
        <w:t xml:space="preserve">步驟8：前端使用Chart.js渲染圖表</w:t>
      </w:r>
    </w:p>
    <w:p>
      <w:pPr>
        <w:spacing w:after="360"/>
      </w:pPr>
      <w:r>
        <w:t xml:space="preserve">步驟9：顯示年度報表與關鍵指標</w:t>
      </w:r>
    </w:p>
    <w:p>
      <w:pPr>
        <w:pStyle w:val="Heading2"/>
      </w:pPr>
      <w:r>
        <w:t xml:space="preserve">9.2 錯誤處理流程</w:t>
      </w:r>
    </w:p>
    <w:p>
      <w:pPr>
        <w:spacing w:after="120"/>
      </w:pPr>
      <w:r>
        <w:t xml:space="preserve">任何步驟發生錯誤時：</w:t>
      </w:r>
    </w:p>
    <w:p>
      <w:pPr>
        <w:spacing w:after="80"/>
        <w:ind w:left="360"/>
      </w:pPr>
      <w:r>
        <w:t xml:space="preserve">1. 記錄詳細錯誤日誌</w:t>
      </w:r>
    </w:p>
    <w:p>
      <w:pPr>
        <w:spacing w:after="80"/>
        <w:ind w:left="360"/>
      </w:pPr>
      <w:r>
        <w:t xml:space="preserve">2. 嘗試使用備援方案（如切換資料來源）</w:t>
      </w:r>
    </w:p>
    <w:p>
      <w:pPr>
        <w:spacing w:after="80"/>
        <w:ind w:left="360"/>
      </w:pPr>
      <w:r>
        <w:t xml:space="preserve">3. 返回友善的錯誤訊息給使用者</w:t>
      </w:r>
    </w:p>
    <w:p>
      <w:pPr>
        <w:spacing w:after="360"/>
        <w:ind w:left="360"/>
      </w:pPr>
      <w:r>
        <w:t xml:space="preserve">4. 不洩露系統內部資訊</w:t>
      </w:r>
    </w:p>
    <w:p>
      <w:r>
        <w:br w:type="page"/>
      </w:r>
    </w:p>
    <w:p>
      <w:pPr>
        <w:spacing w:before="480" w:after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6"/>
          <w:szCs w:val="36"/>
        </w:rPr>
        <w:t xml:space="preserve">總結</w:t>
      </w:r>
    </w:p>
    <w:p>
      <w:pPr>
        <w:spacing w:after="240"/>
      </w:pPr>
      <w:r>
        <w:rPr>
          <w:rFonts w:ascii="Microsoft JhengHei" w:cs="Microsoft JhengHei" w:eastAsia="Microsoft JhengHei" w:hAnsi="Microsoft JhengHei"/>
        </w:rPr>
        <w:t xml:space="preserve">本系統透過嚴謹的架構設計、完整的回測邏輯和多層備援機制，提供可靠的退休理財規劃分析工具。系統的核心價值在於：</w:t>
      </w:r>
    </w:p>
    <w:p>
      <w:pPr>
        <w:spacing w:after="80"/>
      </w:pPr>
      <w:r>
        <w:t xml:space="preserve">• 使用真實歷史資料而非理論假設</w:t>
      </w:r>
    </w:p>
    <w:p>
      <w:pPr>
        <w:spacing w:after="80"/>
      </w:pPr>
      <w:r>
        <w:t xml:space="preserve">• 考慮通膨對購買力的影響</w:t>
      </w:r>
    </w:p>
    <w:p>
      <w:pPr>
        <w:spacing w:after="80"/>
      </w:pPr>
      <w:r>
        <w:t xml:space="preserve">• 提供多種風險策略選擇</w:t>
      </w:r>
    </w:p>
    <w:p>
      <w:pPr>
        <w:spacing w:after="240"/>
      </w:pPr>
      <w:r>
        <w:t xml:space="preserve">• 清楚呈現達成退休目標的可行性</w:t>
      </w:r>
    </w:p>
    <w:p>
      <w:pPr>
        <w:spacing w:after="360"/>
      </w:pPr>
      <w:r>
        <w:rPr>
          <w:rFonts w:ascii="Microsoft JhengHei" w:cs="Microsoft JhengHei" w:eastAsia="Microsoft JhengHei" w:hAnsi="Microsoft JhengHei"/>
        </w:rPr>
        <w:t xml:space="preserve">系統設計充分考慮了實務需求，包括資料備援、快取優化、錯誤處理等，確保在各種情況下都能穩定運作。模組化的架構也為未來的功能擴展預留了空間。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67676"/>
          <w:sz w:val="20"/>
          <w:szCs w:val="20"/>
        </w:rPr>
        <w:t xml:space="preserve">免責聲明：本系統僅供參考，不構成投資建議。投資有風險，請謹慎評估。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icrosoft JhengHei" w:cs="Microsoft JhengHei" w:eastAsia="Microsoft JhengHei" w:hAnsi="Microsoft JhengHei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icrosoft JhengHei" w:cs="Microsoft JhengHei" w:eastAsia="Microsoft JhengHei" w:hAnsi="Microsoft JhengHei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icrosoft JhengHei" w:cs="Microsoft JhengHei" w:eastAsia="Microsoft JhengHei" w:hAnsi="Microsoft JhengHei"/>
      <w:b/>
      <w:bCs/>
      <w:color w:val="5B9BD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2026-02-15T11:13:50.114Z</dcterms:created>
  <dcterms:modified xsi:type="dcterms:W3CDTF">2026-02-15T11:13:50.115Z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