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92DC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台灣</w:t>
      </w:r>
      <w:r w:rsidRPr="00FA0C60">
        <w:rPr>
          <w:b/>
          <w:bCs/>
        </w:rPr>
        <w:t xml:space="preserve"> ETF </w:t>
      </w:r>
      <w:r w:rsidRPr="00FA0C60">
        <w:rPr>
          <w:b/>
          <w:bCs/>
        </w:rPr>
        <w:t>退休理財規劃與投資分析課堂筆記</w:t>
      </w:r>
    </w:p>
    <w:p w14:paraId="67EBD311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一、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系統設計架構與核心原則</w:t>
      </w:r>
    </w:p>
    <w:p w14:paraId="5D0D2883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1. </w:t>
      </w:r>
      <w:r w:rsidRPr="00FA0C60">
        <w:rPr>
          <w:b/>
          <w:bCs/>
        </w:rPr>
        <w:t>系統開發技術堆疊</w:t>
      </w:r>
    </w:p>
    <w:p w14:paraId="5CD814A9" w14:textId="77777777" w:rsidR="00FA0C60" w:rsidRPr="00FA0C60" w:rsidRDefault="00FA0C60" w:rsidP="00FA0C60">
      <w:pPr>
        <w:numPr>
          <w:ilvl w:val="0"/>
          <w:numId w:val="67"/>
        </w:numPr>
        <w:rPr>
          <w:b/>
          <w:bCs/>
        </w:rPr>
      </w:pPr>
      <w:r w:rsidRPr="00FA0C60">
        <w:rPr>
          <w:b/>
          <w:bCs/>
        </w:rPr>
        <w:t>後端框架：</w:t>
      </w:r>
      <w:r w:rsidRPr="00FA0C60">
        <w:rPr>
          <w:b/>
          <w:bCs/>
        </w:rPr>
        <w:t xml:space="preserve">Python 3.x </w:t>
      </w:r>
      <w:r w:rsidRPr="00FA0C60">
        <w:rPr>
          <w:b/>
          <w:bCs/>
        </w:rPr>
        <w:t>搭配</w:t>
      </w:r>
      <w:r w:rsidRPr="00FA0C60">
        <w:rPr>
          <w:b/>
          <w:bCs/>
        </w:rPr>
        <w:t xml:space="preserve"> Flask 2.x </w:t>
      </w:r>
      <w:r w:rsidRPr="00FA0C60">
        <w:rPr>
          <w:b/>
          <w:bCs/>
        </w:rPr>
        <w:t>進行路由與</w:t>
      </w:r>
      <w:r w:rsidRPr="00FA0C60">
        <w:rPr>
          <w:b/>
          <w:bCs/>
        </w:rPr>
        <w:t xml:space="preserve"> API </w:t>
      </w:r>
      <w:r w:rsidRPr="00FA0C60">
        <w:rPr>
          <w:b/>
          <w:bCs/>
        </w:rPr>
        <w:t>管理。</w:t>
      </w:r>
    </w:p>
    <w:p w14:paraId="689D86E3" w14:textId="77777777" w:rsidR="00FA0C60" w:rsidRPr="00FA0C60" w:rsidRDefault="00FA0C60" w:rsidP="00FA0C60">
      <w:pPr>
        <w:numPr>
          <w:ilvl w:val="0"/>
          <w:numId w:val="67"/>
        </w:numPr>
        <w:rPr>
          <w:b/>
          <w:bCs/>
        </w:rPr>
      </w:pPr>
      <w:r w:rsidRPr="00FA0C60">
        <w:rPr>
          <w:b/>
          <w:bCs/>
        </w:rPr>
        <w:t>資料處理：利用</w:t>
      </w:r>
      <w:r w:rsidRPr="00FA0C60">
        <w:rPr>
          <w:b/>
          <w:bCs/>
        </w:rPr>
        <w:t xml:space="preserve"> Pandas </w:t>
      </w:r>
      <w:r w:rsidRPr="00FA0C60">
        <w:rPr>
          <w:b/>
          <w:bCs/>
        </w:rPr>
        <w:t>進行表格運算及時間序列處理，</w:t>
      </w:r>
      <w:r w:rsidRPr="00FA0C60">
        <w:rPr>
          <w:b/>
          <w:bCs/>
        </w:rPr>
        <w:t xml:space="preserve">NumPy </w:t>
      </w:r>
      <w:r w:rsidRPr="00FA0C60">
        <w:rPr>
          <w:b/>
          <w:bCs/>
        </w:rPr>
        <w:t>負責數值統計。</w:t>
      </w:r>
    </w:p>
    <w:p w14:paraId="7E4C9717" w14:textId="77777777" w:rsidR="00FA0C60" w:rsidRPr="00FA0C60" w:rsidRDefault="00FA0C60" w:rsidP="00FA0C60">
      <w:pPr>
        <w:numPr>
          <w:ilvl w:val="0"/>
          <w:numId w:val="67"/>
        </w:numPr>
        <w:rPr>
          <w:b/>
          <w:bCs/>
        </w:rPr>
      </w:pPr>
      <w:r w:rsidRPr="00FA0C60">
        <w:rPr>
          <w:b/>
          <w:bCs/>
        </w:rPr>
        <w:t>資料來源：採用多來源備援機制（</w:t>
      </w:r>
      <w:r w:rsidRPr="00FA0C60">
        <w:rPr>
          <w:b/>
          <w:bCs/>
        </w:rPr>
        <w:t xml:space="preserve">GitHub &gt; </w:t>
      </w:r>
      <w:proofErr w:type="spellStart"/>
      <w:r w:rsidRPr="00FA0C60">
        <w:rPr>
          <w:b/>
          <w:bCs/>
        </w:rPr>
        <w:t>yfinance</w:t>
      </w:r>
      <w:proofErr w:type="spellEnd"/>
      <w:r w:rsidRPr="00FA0C60">
        <w:rPr>
          <w:b/>
          <w:bCs/>
        </w:rPr>
        <w:t xml:space="preserve"> &gt; </w:t>
      </w:r>
      <w:r w:rsidRPr="00FA0C60">
        <w:rPr>
          <w:b/>
          <w:bCs/>
        </w:rPr>
        <w:t>模擬資料）以確保穩定性。</w:t>
      </w:r>
    </w:p>
    <w:p w14:paraId="5B4D4B62" w14:textId="77777777" w:rsidR="00FA0C60" w:rsidRPr="00FA0C60" w:rsidRDefault="00FA0C60" w:rsidP="00FA0C60">
      <w:pPr>
        <w:numPr>
          <w:ilvl w:val="0"/>
          <w:numId w:val="67"/>
        </w:numPr>
        <w:rPr>
          <w:b/>
          <w:bCs/>
        </w:rPr>
      </w:pPr>
      <w:r w:rsidRPr="00FA0C60">
        <w:rPr>
          <w:b/>
          <w:bCs/>
        </w:rPr>
        <w:t>前端介面：使用</w:t>
      </w:r>
      <w:r w:rsidRPr="00FA0C60">
        <w:rPr>
          <w:b/>
          <w:bCs/>
        </w:rPr>
        <w:t xml:space="preserve"> Tailwind CSS </w:t>
      </w:r>
      <w:r w:rsidRPr="00FA0C60">
        <w:rPr>
          <w:b/>
          <w:bCs/>
        </w:rPr>
        <w:t>與</w:t>
      </w:r>
      <w:r w:rsidRPr="00FA0C60">
        <w:rPr>
          <w:b/>
          <w:bCs/>
        </w:rPr>
        <w:t xml:space="preserve"> Chart.js </w:t>
      </w:r>
      <w:r w:rsidRPr="00FA0C60">
        <w:rPr>
          <w:b/>
          <w:bCs/>
        </w:rPr>
        <w:t>實現響應式</w:t>
      </w:r>
      <w:r w:rsidRPr="00FA0C60">
        <w:rPr>
          <w:b/>
          <w:bCs/>
        </w:rPr>
        <w:t xml:space="preserve"> UI </w:t>
      </w:r>
      <w:r w:rsidRPr="00FA0C60">
        <w:rPr>
          <w:b/>
          <w:bCs/>
        </w:rPr>
        <w:t>及資產累積視覺化。</w:t>
      </w:r>
    </w:p>
    <w:p w14:paraId="3F51DC86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2. </w:t>
      </w:r>
      <w:r w:rsidRPr="00FA0C60">
        <w:rPr>
          <w:b/>
          <w:bCs/>
        </w:rPr>
        <w:t>四大設計核心理念</w:t>
      </w:r>
    </w:p>
    <w:p w14:paraId="4285C610" w14:textId="77777777" w:rsidR="00FA0C60" w:rsidRPr="00FA0C60" w:rsidRDefault="00FA0C60" w:rsidP="00FA0C60">
      <w:pPr>
        <w:numPr>
          <w:ilvl w:val="0"/>
          <w:numId w:val="68"/>
        </w:numPr>
        <w:rPr>
          <w:b/>
          <w:bCs/>
        </w:rPr>
      </w:pPr>
      <w:r w:rsidRPr="00FA0C60">
        <w:rPr>
          <w:b/>
          <w:bCs/>
        </w:rPr>
        <w:t>真實性優先：使用歷史真實股價與配息資料，而非單純的理論假設。</w:t>
      </w:r>
    </w:p>
    <w:p w14:paraId="210C354C" w14:textId="77777777" w:rsidR="00FA0C60" w:rsidRPr="00FA0C60" w:rsidRDefault="00FA0C60" w:rsidP="00FA0C60">
      <w:pPr>
        <w:numPr>
          <w:ilvl w:val="0"/>
          <w:numId w:val="68"/>
        </w:numPr>
        <w:rPr>
          <w:b/>
          <w:bCs/>
        </w:rPr>
      </w:pPr>
      <w:r w:rsidRPr="00FA0C60">
        <w:rPr>
          <w:b/>
          <w:bCs/>
        </w:rPr>
        <w:t>保守推估：基於歷史統計數據進行未來預測，避免過度樂觀的財務期望。</w:t>
      </w:r>
    </w:p>
    <w:p w14:paraId="6C656425" w14:textId="77777777" w:rsidR="00FA0C60" w:rsidRPr="00FA0C60" w:rsidRDefault="00FA0C60" w:rsidP="00FA0C60">
      <w:pPr>
        <w:numPr>
          <w:ilvl w:val="0"/>
          <w:numId w:val="68"/>
        </w:numPr>
        <w:rPr>
          <w:b/>
          <w:bCs/>
        </w:rPr>
      </w:pPr>
      <w:r w:rsidRPr="00FA0C60">
        <w:rPr>
          <w:b/>
          <w:bCs/>
        </w:rPr>
        <w:t>通膨修正：所有退休</w:t>
      </w:r>
      <w:proofErr w:type="gramStart"/>
      <w:r w:rsidRPr="00FA0C60">
        <w:rPr>
          <w:b/>
          <w:bCs/>
        </w:rPr>
        <w:t>門檻皆計入</w:t>
      </w:r>
      <w:proofErr w:type="gramEnd"/>
      <w:r w:rsidRPr="00FA0C60">
        <w:rPr>
          <w:b/>
          <w:bCs/>
        </w:rPr>
        <w:t xml:space="preserve"> 3% </w:t>
      </w:r>
      <w:r w:rsidRPr="00FA0C60">
        <w:rPr>
          <w:b/>
          <w:bCs/>
        </w:rPr>
        <w:t>年通膨率，以確保退休後的實質購買力。</w:t>
      </w:r>
    </w:p>
    <w:p w14:paraId="08BFE0D9" w14:textId="77777777" w:rsidR="00FA0C60" w:rsidRPr="00FA0C60" w:rsidRDefault="00FA0C60" w:rsidP="00FA0C60">
      <w:pPr>
        <w:numPr>
          <w:ilvl w:val="0"/>
          <w:numId w:val="68"/>
        </w:numPr>
        <w:rPr>
          <w:b/>
          <w:bCs/>
        </w:rPr>
      </w:pPr>
      <w:proofErr w:type="gramStart"/>
      <w:r w:rsidRPr="00FA0C60">
        <w:rPr>
          <w:b/>
          <w:bCs/>
        </w:rPr>
        <w:t>雙段式</w:t>
      </w:r>
      <w:proofErr w:type="gramEnd"/>
      <w:r w:rsidRPr="00FA0C60">
        <w:rPr>
          <w:b/>
          <w:bCs/>
        </w:rPr>
        <w:t>分析：將分析區分為「歷史回測」與「未來統計推估」兩大階段。</w:t>
      </w:r>
    </w:p>
    <w:p w14:paraId="44218C9E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pict w14:anchorId="1958F74B">
          <v:rect id="_x0000_i1209" style="width:0;height:1.5pt" o:hralign="center" o:hrstd="t" o:hr="t" fillcolor="#a0a0a0" stroked="f"/>
        </w:pict>
      </w:r>
    </w:p>
    <w:p w14:paraId="561C748B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二、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三大投資策略深度對比分析</w:t>
      </w:r>
    </w:p>
    <w:p w14:paraId="1CAFEEF6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根據風險承受度與回報期望，系統設計了三種核心投資組合：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328"/>
        <w:gridCol w:w="1280"/>
        <w:gridCol w:w="1759"/>
        <w:gridCol w:w="1374"/>
        <w:gridCol w:w="1534"/>
      </w:tblGrid>
      <w:tr w:rsidR="00FA0C60" w:rsidRPr="00FA0C60" w14:paraId="68A90115" w14:textId="77777777" w:rsidTr="00FA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0D83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策略類型</w:t>
            </w:r>
          </w:p>
        </w:tc>
        <w:tc>
          <w:tcPr>
            <w:tcW w:w="0" w:type="auto"/>
            <w:vAlign w:val="center"/>
            <w:hideMark/>
          </w:tcPr>
          <w:p w14:paraId="536632A1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核心組合與權重配置</w:t>
            </w:r>
          </w:p>
        </w:tc>
        <w:tc>
          <w:tcPr>
            <w:tcW w:w="0" w:type="auto"/>
            <w:vAlign w:val="center"/>
            <w:hideMark/>
          </w:tcPr>
          <w:p w14:paraId="12B134BD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退休提領率</w:t>
            </w:r>
          </w:p>
        </w:tc>
        <w:tc>
          <w:tcPr>
            <w:tcW w:w="0" w:type="auto"/>
            <w:vAlign w:val="center"/>
            <w:hideMark/>
          </w:tcPr>
          <w:p w14:paraId="3340FFDE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預期年化報酬率</w:t>
            </w:r>
          </w:p>
        </w:tc>
        <w:tc>
          <w:tcPr>
            <w:tcW w:w="0" w:type="auto"/>
            <w:vAlign w:val="center"/>
            <w:hideMark/>
          </w:tcPr>
          <w:p w14:paraId="5FA4ACE1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波動風險</w:t>
            </w:r>
            <w:r w:rsidRPr="00FA0C60">
              <w:rPr>
                <w:b/>
                <w:bCs/>
              </w:rPr>
              <w:t xml:space="preserve"> (σ)</w:t>
            </w:r>
          </w:p>
        </w:tc>
        <w:tc>
          <w:tcPr>
            <w:tcW w:w="0" w:type="auto"/>
            <w:vAlign w:val="center"/>
            <w:hideMark/>
          </w:tcPr>
          <w:p w14:paraId="4B892DA5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預期年配息率</w:t>
            </w:r>
          </w:p>
        </w:tc>
      </w:tr>
      <w:tr w:rsidR="00FA0C60" w:rsidRPr="00FA0C60" w14:paraId="72755FF8" w14:textId="77777777" w:rsidTr="00FA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8348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保守型</w:t>
            </w:r>
          </w:p>
        </w:tc>
        <w:tc>
          <w:tcPr>
            <w:tcW w:w="0" w:type="auto"/>
            <w:vAlign w:val="center"/>
            <w:hideMark/>
          </w:tcPr>
          <w:p w14:paraId="07083647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00878 (40%), 00713 (30%), 00679B (30%)</w:t>
            </w:r>
          </w:p>
        </w:tc>
        <w:tc>
          <w:tcPr>
            <w:tcW w:w="0" w:type="auto"/>
            <w:vAlign w:val="center"/>
            <w:hideMark/>
          </w:tcPr>
          <w:p w14:paraId="61170274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4AC612FA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4-6%</w:t>
            </w:r>
          </w:p>
        </w:tc>
        <w:tc>
          <w:tcPr>
            <w:tcW w:w="0" w:type="auto"/>
            <w:vAlign w:val="center"/>
            <w:hideMark/>
          </w:tcPr>
          <w:p w14:paraId="2BD2DDCF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低</w:t>
            </w:r>
            <w:r w:rsidRPr="00FA0C60">
              <w:rPr>
                <w:b/>
                <w:bCs/>
              </w:rPr>
              <w:t xml:space="preserve"> (≈10%)</w:t>
            </w:r>
          </w:p>
        </w:tc>
        <w:tc>
          <w:tcPr>
            <w:tcW w:w="0" w:type="auto"/>
            <w:vAlign w:val="center"/>
            <w:hideMark/>
          </w:tcPr>
          <w:p w14:paraId="539411A2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4-5%</w:t>
            </w:r>
          </w:p>
        </w:tc>
      </w:tr>
      <w:tr w:rsidR="00FA0C60" w:rsidRPr="00FA0C60" w14:paraId="3DC682FA" w14:textId="77777777" w:rsidTr="00FA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B16B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穩健型</w:t>
            </w:r>
          </w:p>
        </w:tc>
        <w:tc>
          <w:tcPr>
            <w:tcW w:w="0" w:type="auto"/>
            <w:vAlign w:val="center"/>
            <w:hideMark/>
          </w:tcPr>
          <w:p w14:paraId="55762751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00919 (35%), 00929 (40%), 0056 (25%)</w:t>
            </w:r>
          </w:p>
        </w:tc>
        <w:tc>
          <w:tcPr>
            <w:tcW w:w="0" w:type="auto"/>
            <w:vAlign w:val="center"/>
            <w:hideMark/>
          </w:tcPr>
          <w:p w14:paraId="30CF3946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18D50D05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6-8%</w:t>
            </w:r>
          </w:p>
        </w:tc>
        <w:tc>
          <w:tcPr>
            <w:tcW w:w="0" w:type="auto"/>
            <w:vAlign w:val="center"/>
            <w:hideMark/>
          </w:tcPr>
          <w:p w14:paraId="40614372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中</w:t>
            </w:r>
            <w:r w:rsidRPr="00FA0C60">
              <w:rPr>
                <w:b/>
                <w:bCs/>
              </w:rPr>
              <w:t xml:space="preserve"> (≈13%)</w:t>
            </w:r>
          </w:p>
        </w:tc>
        <w:tc>
          <w:tcPr>
            <w:tcW w:w="0" w:type="auto"/>
            <w:vAlign w:val="center"/>
            <w:hideMark/>
          </w:tcPr>
          <w:p w14:paraId="6E6542F4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4-6%</w:t>
            </w:r>
          </w:p>
        </w:tc>
      </w:tr>
      <w:tr w:rsidR="00FA0C60" w:rsidRPr="00FA0C60" w14:paraId="641A1CC9" w14:textId="77777777" w:rsidTr="00FA0C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7FE0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積極型</w:t>
            </w:r>
          </w:p>
        </w:tc>
        <w:tc>
          <w:tcPr>
            <w:tcW w:w="0" w:type="auto"/>
            <w:vAlign w:val="center"/>
            <w:hideMark/>
          </w:tcPr>
          <w:p w14:paraId="7F8559B0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006208 (30%), 00929 (50%), 00915 (20%)</w:t>
            </w:r>
          </w:p>
        </w:tc>
        <w:tc>
          <w:tcPr>
            <w:tcW w:w="0" w:type="auto"/>
            <w:vAlign w:val="center"/>
            <w:hideMark/>
          </w:tcPr>
          <w:p w14:paraId="39CEA04F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6E8DBC7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8-12%</w:t>
            </w:r>
          </w:p>
        </w:tc>
        <w:tc>
          <w:tcPr>
            <w:tcW w:w="0" w:type="auto"/>
            <w:vAlign w:val="center"/>
            <w:hideMark/>
          </w:tcPr>
          <w:p w14:paraId="6E443C67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高</w:t>
            </w:r>
            <w:r w:rsidRPr="00FA0C60">
              <w:rPr>
                <w:b/>
                <w:bCs/>
              </w:rPr>
              <w:t xml:space="preserve"> (≈16%)</w:t>
            </w:r>
          </w:p>
        </w:tc>
        <w:tc>
          <w:tcPr>
            <w:tcW w:w="0" w:type="auto"/>
            <w:vAlign w:val="center"/>
            <w:hideMark/>
          </w:tcPr>
          <w:p w14:paraId="4ACE36D3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3-4%</w:t>
            </w:r>
          </w:p>
        </w:tc>
      </w:tr>
    </w:tbl>
    <w:p w14:paraId="58CF2695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1. </w:t>
      </w:r>
      <w:r w:rsidRPr="00FA0C60">
        <w:rPr>
          <w:b/>
          <w:bCs/>
        </w:rPr>
        <w:t>策略特性說明</w:t>
      </w:r>
    </w:p>
    <w:p w14:paraId="1E07FA9F" w14:textId="77777777" w:rsidR="00FA0C60" w:rsidRPr="00FA0C60" w:rsidRDefault="00FA0C60" w:rsidP="00FA0C60">
      <w:pPr>
        <w:numPr>
          <w:ilvl w:val="0"/>
          <w:numId w:val="69"/>
        </w:numPr>
        <w:rPr>
          <w:b/>
          <w:bCs/>
        </w:rPr>
      </w:pPr>
      <w:r w:rsidRPr="00FA0C60">
        <w:rPr>
          <w:b/>
          <w:bCs/>
        </w:rPr>
        <w:t>保守型</w:t>
      </w:r>
      <w:r w:rsidRPr="00FA0C60">
        <w:rPr>
          <w:b/>
          <w:bCs/>
        </w:rPr>
        <w:t xml:space="preserve"> (Conservative)</w:t>
      </w:r>
      <w:r w:rsidRPr="00FA0C60">
        <w:rPr>
          <w:b/>
          <w:bCs/>
        </w:rPr>
        <w:t>：納入</w:t>
      </w:r>
      <w:r w:rsidRPr="00FA0C60">
        <w:rPr>
          <w:b/>
          <w:bCs/>
        </w:rPr>
        <w:t xml:space="preserve"> 30% </w:t>
      </w:r>
      <w:r w:rsidRPr="00FA0C60">
        <w:rPr>
          <w:b/>
          <w:bCs/>
        </w:rPr>
        <w:t>美債</w:t>
      </w:r>
      <w:r w:rsidRPr="00FA0C60">
        <w:rPr>
          <w:b/>
          <w:bCs/>
        </w:rPr>
        <w:t xml:space="preserve"> ETF (00679B) </w:t>
      </w:r>
      <w:r w:rsidRPr="00FA0C60">
        <w:rPr>
          <w:b/>
          <w:bCs/>
        </w:rPr>
        <w:t>作為避險資產，旨在降低組合波動並提供穩定現金流。</w:t>
      </w:r>
    </w:p>
    <w:p w14:paraId="33266D18" w14:textId="77777777" w:rsidR="00FA0C60" w:rsidRPr="00FA0C60" w:rsidRDefault="00FA0C60" w:rsidP="00FA0C60">
      <w:pPr>
        <w:numPr>
          <w:ilvl w:val="0"/>
          <w:numId w:val="69"/>
        </w:numPr>
        <w:rPr>
          <w:b/>
          <w:bCs/>
        </w:rPr>
      </w:pPr>
      <w:r w:rsidRPr="00FA0C60">
        <w:rPr>
          <w:b/>
          <w:bCs/>
        </w:rPr>
        <w:t>穩健型</w:t>
      </w:r>
      <w:r w:rsidRPr="00FA0C60">
        <w:rPr>
          <w:b/>
          <w:bCs/>
        </w:rPr>
        <w:t xml:space="preserve"> (Balanced)</w:t>
      </w:r>
      <w:r w:rsidRPr="00FA0C60">
        <w:rPr>
          <w:b/>
          <w:bCs/>
        </w:rPr>
        <w:t>：全台股高股息組合，利用不同的選股邏輯（如科技、</w:t>
      </w:r>
      <w:r w:rsidRPr="00FA0C60">
        <w:rPr>
          <w:b/>
          <w:bCs/>
        </w:rPr>
        <w:t>ESG</w:t>
      </w:r>
      <w:r w:rsidRPr="00FA0C60">
        <w:rPr>
          <w:b/>
          <w:bCs/>
        </w:rPr>
        <w:t>）互補，追求比大盤穩定的現金流。</w:t>
      </w:r>
    </w:p>
    <w:p w14:paraId="6434088F" w14:textId="77777777" w:rsidR="00FA0C60" w:rsidRPr="00FA0C60" w:rsidRDefault="00FA0C60" w:rsidP="00FA0C60">
      <w:pPr>
        <w:numPr>
          <w:ilvl w:val="0"/>
          <w:numId w:val="69"/>
        </w:numPr>
        <w:rPr>
          <w:b/>
          <w:bCs/>
        </w:rPr>
      </w:pPr>
      <w:r w:rsidRPr="00FA0C60">
        <w:rPr>
          <w:b/>
          <w:bCs/>
        </w:rPr>
        <w:lastRenderedPageBreak/>
        <w:t>積極型</w:t>
      </w:r>
      <w:r w:rsidRPr="00FA0C60">
        <w:rPr>
          <w:b/>
          <w:bCs/>
        </w:rPr>
        <w:t xml:space="preserve"> (Aggressive)</w:t>
      </w:r>
      <w:r w:rsidRPr="00FA0C60">
        <w:rPr>
          <w:b/>
          <w:bCs/>
        </w:rPr>
        <w:t>：加入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市值型</w:t>
      </w:r>
      <w:r w:rsidRPr="00FA0C60">
        <w:rPr>
          <w:b/>
          <w:bCs/>
        </w:rPr>
        <w:t xml:space="preserve"> ETF (006208) </w:t>
      </w:r>
      <w:r w:rsidRPr="00FA0C60">
        <w:rPr>
          <w:b/>
          <w:bCs/>
        </w:rPr>
        <w:t>追求大盤長期成長利得，適合風險承受度高且投資年限長的年輕族群。</w:t>
      </w:r>
    </w:p>
    <w:p w14:paraId="3B3943CB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pict w14:anchorId="0513A788">
          <v:rect id="_x0000_i1210" style="width:0;height:1.5pt" o:hralign="center" o:hrstd="t" o:hr="t" fillcolor="#a0a0a0" stroked="f"/>
        </w:pict>
      </w:r>
    </w:p>
    <w:p w14:paraId="1EEAA787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三、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核心財務計算邏輯</w:t>
      </w:r>
    </w:p>
    <w:p w14:paraId="2B29A549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1. </w:t>
      </w:r>
      <w:r w:rsidRPr="00FA0C60">
        <w:rPr>
          <w:b/>
          <w:bCs/>
        </w:rPr>
        <w:t>報酬率計算指標</w:t>
      </w:r>
    </w:p>
    <w:p w14:paraId="77B6A0AE" w14:textId="77777777" w:rsidR="00FA0C60" w:rsidRPr="00FA0C60" w:rsidRDefault="00FA0C60" w:rsidP="00FA0C60">
      <w:pPr>
        <w:numPr>
          <w:ilvl w:val="0"/>
          <w:numId w:val="70"/>
        </w:numPr>
        <w:rPr>
          <w:b/>
          <w:bCs/>
        </w:rPr>
      </w:pPr>
      <w:r w:rsidRPr="00FA0C60">
        <w:rPr>
          <w:b/>
          <w:bCs/>
        </w:rPr>
        <w:t>CAGR (</w:t>
      </w:r>
      <w:r w:rsidRPr="00FA0C60">
        <w:rPr>
          <w:b/>
          <w:bCs/>
        </w:rPr>
        <w:t>複合年化成長率</w:t>
      </w:r>
      <w:r w:rsidRPr="00FA0C60">
        <w:rPr>
          <w:b/>
          <w:bCs/>
        </w:rPr>
        <w:t>)</w:t>
      </w:r>
      <w:r w:rsidRPr="00FA0C60">
        <w:rPr>
          <w:b/>
          <w:bCs/>
        </w:rPr>
        <w:t>：系統不使用固定</w:t>
      </w:r>
      <w:r w:rsidRPr="00FA0C60">
        <w:rPr>
          <w:b/>
          <w:bCs/>
        </w:rPr>
        <w:t xml:space="preserve"> 8% </w:t>
      </w:r>
      <w:r w:rsidRPr="00FA0C60">
        <w:rPr>
          <w:b/>
          <w:bCs/>
        </w:rPr>
        <w:t>報酬，而是依據</w:t>
      </w:r>
      <w:r w:rsidRPr="00FA0C60">
        <w:rPr>
          <w:b/>
          <w:bCs/>
        </w:rPr>
        <w:t xml:space="preserve"> ETF </w:t>
      </w:r>
      <w:r w:rsidRPr="00FA0C60">
        <w:rPr>
          <w:b/>
          <w:bCs/>
        </w:rPr>
        <w:t>真實歷史表現計算：</w:t>
      </w:r>
      <w:r w:rsidRPr="00FA0C60">
        <w:rPr>
          <w:b/>
          <w:bCs/>
        </w:rPr>
        <w:t xml:space="preserve"> </w:t>
      </w:r>
    </w:p>
    <w:p w14:paraId="343F3823" w14:textId="77777777" w:rsidR="00FA0C60" w:rsidRPr="00FA0C60" w:rsidRDefault="00FA0C60" w:rsidP="00FA0C60">
      <w:pPr>
        <w:numPr>
          <w:ilvl w:val="1"/>
          <w:numId w:val="70"/>
        </w:numPr>
        <w:rPr>
          <w:b/>
          <w:bCs/>
        </w:rPr>
      </w:pPr>
      <w:r w:rsidRPr="00FA0C60">
        <w:rPr>
          <w:b/>
          <w:bCs/>
        </w:rPr>
        <w:t>公式：</w:t>
      </w:r>
      <w:r w:rsidRPr="00FA0C60">
        <w:rPr>
          <w:b/>
          <w:bCs/>
        </w:rPr>
        <w:t>$CAGR = (</w:t>
      </w:r>
      <w:r w:rsidRPr="00FA0C60">
        <w:rPr>
          <w:b/>
          <w:bCs/>
        </w:rPr>
        <w:t>期末價</w:t>
      </w:r>
      <w:r w:rsidRPr="00FA0C60">
        <w:rPr>
          <w:b/>
          <w:bCs/>
        </w:rPr>
        <w:t xml:space="preserve"> / </w:t>
      </w:r>
      <w:proofErr w:type="gramStart"/>
      <w:r w:rsidRPr="00FA0C60">
        <w:rPr>
          <w:b/>
          <w:bCs/>
        </w:rPr>
        <w:t>期初價</w:t>
      </w:r>
      <w:proofErr w:type="gramEnd"/>
      <w:r w:rsidRPr="00FA0C60">
        <w:rPr>
          <w:b/>
          <w:bCs/>
        </w:rPr>
        <w:t xml:space="preserve">)^{(1 / </w:t>
      </w:r>
      <w:r w:rsidRPr="00FA0C60">
        <w:rPr>
          <w:b/>
          <w:bCs/>
        </w:rPr>
        <w:t>年數</w:t>
      </w:r>
      <w:r w:rsidRPr="00FA0C60">
        <w:rPr>
          <w:b/>
          <w:bCs/>
        </w:rPr>
        <w:t>)} - 1$</w:t>
      </w:r>
      <w:r w:rsidRPr="00FA0C60">
        <w:rPr>
          <w:b/>
          <w:bCs/>
        </w:rPr>
        <w:t>。</w:t>
      </w:r>
    </w:p>
    <w:p w14:paraId="7859532E" w14:textId="77777777" w:rsidR="00FA0C60" w:rsidRPr="00FA0C60" w:rsidRDefault="00FA0C60" w:rsidP="00FA0C60">
      <w:pPr>
        <w:numPr>
          <w:ilvl w:val="0"/>
          <w:numId w:val="70"/>
        </w:numPr>
        <w:rPr>
          <w:b/>
          <w:bCs/>
        </w:rPr>
      </w:pPr>
      <w:r w:rsidRPr="00FA0C60">
        <w:rPr>
          <w:b/>
          <w:bCs/>
        </w:rPr>
        <w:t>月成長率轉換：將年化</w:t>
      </w:r>
      <w:r w:rsidRPr="00FA0C60">
        <w:rPr>
          <w:b/>
          <w:bCs/>
        </w:rPr>
        <w:t xml:space="preserve"> CAGR </w:t>
      </w:r>
      <w:r w:rsidRPr="00FA0C60">
        <w:rPr>
          <w:b/>
          <w:bCs/>
        </w:rPr>
        <w:t>轉換為月成長率以進行逐月資產更新：</w:t>
      </w:r>
      <w:r w:rsidRPr="00FA0C60">
        <w:rPr>
          <w:b/>
          <w:bCs/>
        </w:rPr>
        <w:t xml:space="preserve"> </w:t>
      </w:r>
    </w:p>
    <w:p w14:paraId="15D8FBF5" w14:textId="77777777" w:rsidR="00FA0C60" w:rsidRPr="00FA0C60" w:rsidRDefault="00FA0C60" w:rsidP="00FA0C60">
      <w:pPr>
        <w:numPr>
          <w:ilvl w:val="1"/>
          <w:numId w:val="70"/>
        </w:numPr>
        <w:rPr>
          <w:b/>
          <w:bCs/>
        </w:rPr>
      </w:pPr>
      <w:r w:rsidRPr="00FA0C60">
        <w:rPr>
          <w:b/>
          <w:bCs/>
        </w:rPr>
        <w:t>公式：</w:t>
      </w:r>
      <w:r w:rsidRPr="00FA0C60">
        <w:rPr>
          <w:b/>
          <w:bCs/>
        </w:rPr>
        <w:t>$</w:t>
      </w:r>
      <w:r w:rsidRPr="00FA0C60">
        <w:rPr>
          <w:b/>
          <w:bCs/>
        </w:rPr>
        <w:t>月化成長</w:t>
      </w:r>
      <w:r w:rsidRPr="00FA0C60">
        <w:rPr>
          <w:b/>
          <w:bCs/>
        </w:rPr>
        <w:t xml:space="preserve"> = (1 + CAGR)^{(1/12)} - 1$</w:t>
      </w:r>
      <w:r w:rsidRPr="00FA0C60">
        <w:rPr>
          <w:b/>
          <w:bCs/>
        </w:rPr>
        <w:t>。</w:t>
      </w:r>
    </w:p>
    <w:p w14:paraId="40469D60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2. </w:t>
      </w:r>
      <w:r w:rsidRPr="00FA0C60">
        <w:rPr>
          <w:b/>
          <w:bCs/>
        </w:rPr>
        <w:t>配息與複利模型</w:t>
      </w:r>
    </w:p>
    <w:p w14:paraId="70104EA1" w14:textId="77777777" w:rsidR="00FA0C60" w:rsidRPr="00FA0C60" w:rsidRDefault="00FA0C60" w:rsidP="00FA0C60">
      <w:pPr>
        <w:numPr>
          <w:ilvl w:val="0"/>
          <w:numId w:val="71"/>
        </w:numPr>
        <w:rPr>
          <w:b/>
          <w:bCs/>
        </w:rPr>
      </w:pPr>
      <w:r w:rsidRPr="00FA0C60">
        <w:rPr>
          <w:b/>
          <w:bCs/>
        </w:rPr>
        <w:t>歷史配息計算：以「總配息次數</w:t>
      </w:r>
      <w:r w:rsidRPr="00FA0C60">
        <w:rPr>
          <w:b/>
          <w:bCs/>
        </w:rPr>
        <w:t xml:space="preserve"> / </w:t>
      </w:r>
      <w:r w:rsidRPr="00FA0C60">
        <w:rPr>
          <w:b/>
          <w:bCs/>
        </w:rPr>
        <w:t>資料年數」推估年均頻率。</w:t>
      </w:r>
    </w:p>
    <w:p w14:paraId="3CA55FC3" w14:textId="77777777" w:rsidR="00FA0C60" w:rsidRPr="00FA0C60" w:rsidRDefault="00FA0C60" w:rsidP="00FA0C60">
      <w:pPr>
        <w:numPr>
          <w:ilvl w:val="0"/>
          <w:numId w:val="71"/>
        </w:numPr>
        <w:rPr>
          <w:b/>
          <w:bCs/>
        </w:rPr>
      </w:pPr>
      <w:r w:rsidRPr="00FA0C60">
        <w:rPr>
          <w:b/>
          <w:bCs/>
        </w:rPr>
        <w:t>配息再投資</w:t>
      </w:r>
      <w:r w:rsidRPr="00FA0C60">
        <w:rPr>
          <w:b/>
          <w:bCs/>
        </w:rPr>
        <w:t xml:space="preserve"> (DRIP)</w:t>
      </w:r>
      <w:r w:rsidRPr="00FA0C60">
        <w:rPr>
          <w:b/>
          <w:bCs/>
        </w:rPr>
        <w:t>：收到的配息自動轉為現金，並於次月重新買入。</w:t>
      </w:r>
    </w:p>
    <w:p w14:paraId="2F579D9F" w14:textId="77777777" w:rsidR="00FA0C60" w:rsidRPr="00FA0C60" w:rsidRDefault="00FA0C60" w:rsidP="00FA0C60">
      <w:pPr>
        <w:numPr>
          <w:ilvl w:val="0"/>
          <w:numId w:val="71"/>
        </w:numPr>
        <w:rPr>
          <w:b/>
          <w:bCs/>
        </w:rPr>
      </w:pPr>
      <w:r w:rsidRPr="00FA0C60">
        <w:rPr>
          <w:b/>
          <w:bCs/>
        </w:rPr>
        <w:t>台股規則限制：系統嚴格遵循</w:t>
      </w:r>
      <w:r w:rsidRPr="00FA0C60">
        <w:rPr>
          <w:b/>
          <w:bCs/>
        </w:rPr>
        <w:t xml:space="preserve"> 1,000 </w:t>
      </w:r>
      <w:r w:rsidRPr="00FA0C60">
        <w:rPr>
          <w:b/>
          <w:bCs/>
        </w:rPr>
        <w:t>股（整張）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買入規則，不足整張之現金保留至下月。</w:t>
      </w:r>
    </w:p>
    <w:p w14:paraId="4F46B82C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pict w14:anchorId="5E0EB11F">
          <v:rect id="_x0000_i1211" style="width:0;height:1.5pt" o:hralign="center" o:hrstd="t" o:hr="t" fillcolor="#a0a0a0" stroked="f"/>
        </w:pict>
      </w:r>
    </w:p>
    <w:p w14:paraId="671460E6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四、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退休門檻與通膨修正機制</w:t>
      </w:r>
    </w:p>
    <w:p w14:paraId="13D64D7F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1. </w:t>
      </w:r>
      <w:r w:rsidRPr="00FA0C60">
        <w:rPr>
          <w:b/>
          <w:bCs/>
        </w:rPr>
        <w:t>退休門檻計算公式</w:t>
      </w:r>
    </w:p>
    <w:p w14:paraId="1F67B0DE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退休所需的基礎目標金額（現值）取決於預期支出與策略提領率：</w:t>
      </w:r>
    </w:p>
    <w:p w14:paraId="67F9032C" w14:textId="77777777" w:rsidR="00FA0C60" w:rsidRPr="00FA0C60" w:rsidRDefault="00FA0C60" w:rsidP="00FA0C60">
      <w:pPr>
        <w:numPr>
          <w:ilvl w:val="0"/>
          <w:numId w:val="72"/>
        </w:numPr>
        <w:rPr>
          <w:b/>
          <w:bCs/>
        </w:rPr>
      </w:pPr>
      <w:r w:rsidRPr="00FA0C60">
        <w:rPr>
          <w:b/>
          <w:bCs/>
        </w:rPr>
        <w:t>基礎門檻</w:t>
      </w:r>
      <w:r w:rsidRPr="00FA0C60">
        <w:rPr>
          <w:b/>
          <w:bCs/>
        </w:rPr>
        <w:t xml:space="preserve"> = (</w:t>
      </w:r>
      <w:r w:rsidRPr="00FA0C60">
        <w:rPr>
          <w:b/>
          <w:bCs/>
        </w:rPr>
        <w:t>目標月支出</w:t>
      </w:r>
      <w:r w:rsidRPr="00FA0C60">
        <w:rPr>
          <w:b/>
          <w:bCs/>
        </w:rPr>
        <w:t xml:space="preserve"> × 12) / </w:t>
      </w:r>
      <w:r w:rsidRPr="00FA0C60">
        <w:rPr>
          <w:b/>
          <w:bCs/>
        </w:rPr>
        <w:t>提領率。</w:t>
      </w:r>
    </w:p>
    <w:p w14:paraId="56FB969C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2. </w:t>
      </w:r>
      <w:r w:rsidRPr="00FA0C60">
        <w:rPr>
          <w:b/>
          <w:bCs/>
        </w:rPr>
        <w:t>通膨修正對比表</w:t>
      </w:r>
      <w:r w:rsidRPr="00FA0C60">
        <w:rPr>
          <w:b/>
          <w:bCs/>
        </w:rPr>
        <w:t xml:space="preserve"> (</w:t>
      </w:r>
      <w:r w:rsidRPr="00FA0C60">
        <w:rPr>
          <w:b/>
          <w:bCs/>
        </w:rPr>
        <w:t>年通膨率</w:t>
      </w:r>
      <w:r w:rsidRPr="00FA0C60">
        <w:rPr>
          <w:b/>
          <w:bCs/>
        </w:rPr>
        <w:t xml:space="preserve"> 3%)</w:t>
      </w:r>
    </w:p>
    <w:p w14:paraId="0CCDC088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以基礎目標</w:t>
      </w:r>
      <w:r w:rsidRPr="00FA0C60">
        <w:rPr>
          <w:b/>
          <w:bCs/>
        </w:rPr>
        <w:t xml:space="preserve"> 1,200 </w:t>
      </w:r>
      <w:r w:rsidRPr="00FA0C60">
        <w:rPr>
          <w:b/>
          <w:bCs/>
        </w:rPr>
        <w:t>萬元為例，不同年份後的通膨門檻（名目資產）如下：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002"/>
        <w:gridCol w:w="1056"/>
      </w:tblGrid>
      <w:tr w:rsidR="00FA0C60" w:rsidRPr="00FA0C60" w14:paraId="389EAB21" w14:textId="77777777" w:rsidTr="00FA0C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FDD6C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投資年數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6509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通膨修正目標金額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B3DA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增長倍數</w:t>
            </w:r>
          </w:p>
        </w:tc>
      </w:tr>
      <w:tr w:rsidR="00FA0C60" w:rsidRPr="00FA0C60" w14:paraId="4079632E" w14:textId="77777777" w:rsidTr="00FA0C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7F146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第</w:t>
            </w:r>
            <w:r w:rsidRPr="00FA0C60">
              <w:rPr>
                <w:b/>
                <w:bCs/>
              </w:rPr>
              <w:t xml:space="preserve"> 0 </w:t>
            </w:r>
            <w:r w:rsidRPr="00FA0C60">
              <w:rPr>
                <w:b/>
                <w:bCs/>
              </w:rPr>
              <w:t>年</w:t>
            </w:r>
            <w:r w:rsidRPr="00FA0C60">
              <w:rPr>
                <w:b/>
                <w:bCs/>
              </w:rPr>
              <w:t xml:space="preserve"> (</w:t>
            </w:r>
            <w:r w:rsidRPr="00FA0C60">
              <w:rPr>
                <w:b/>
                <w:bCs/>
              </w:rPr>
              <w:t>現值</w:t>
            </w:r>
            <w:r w:rsidRPr="00FA0C6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FCD91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 xml:space="preserve">1,200 </w:t>
            </w:r>
            <w:r w:rsidRPr="00FA0C60">
              <w:rPr>
                <w:b/>
                <w:bCs/>
              </w:rPr>
              <w:t>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03EC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1.00x</w:t>
            </w:r>
          </w:p>
        </w:tc>
      </w:tr>
      <w:tr w:rsidR="00FA0C60" w:rsidRPr="00FA0C60" w14:paraId="1B3A94AB" w14:textId="77777777" w:rsidTr="00FA0C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ABAA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第</w:t>
            </w:r>
            <w:r w:rsidRPr="00FA0C60">
              <w:rPr>
                <w:b/>
                <w:bCs/>
              </w:rPr>
              <w:t xml:space="preserve"> 10 </w:t>
            </w:r>
            <w:r w:rsidRPr="00FA0C60">
              <w:rPr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C44F6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 xml:space="preserve">1,612 </w:t>
            </w:r>
            <w:r w:rsidRPr="00FA0C60">
              <w:rPr>
                <w:b/>
                <w:bCs/>
              </w:rPr>
              <w:t>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E9803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1.34x</w:t>
            </w:r>
          </w:p>
        </w:tc>
      </w:tr>
      <w:tr w:rsidR="00FA0C60" w:rsidRPr="00FA0C60" w14:paraId="3E9392B2" w14:textId="77777777" w:rsidTr="00FA0C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6150D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第</w:t>
            </w:r>
            <w:r w:rsidRPr="00FA0C60">
              <w:rPr>
                <w:b/>
                <w:bCs/>
              </w:rPr>
              <w:t xml:space="preserve"> 20 </w:t>
            </w:r>
            <w:r w:rsidRPr="00FA0C60">
              <w:rPr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5EA7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 xml:space="preserve">2,168 </w:t>
            </w:r>
            <w:r w:rsidRPr="00FA0C60">
              <w:rPr>
                <w:b/>
                <w:bCs/>
              </w:rPr>
              <w:t>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5F8B8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1.81x</w:t>
            </w:r>
          </w:p>
        </w:tc>
      </w:tr>
      <w:tr w:rsidR="00FA0C60" w:rsidRPr="00FA0C60" w14:paraId="449BFCFA" w14:textId="77777777" w:rsidTr="00FA0C6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F8736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第</w:t>
            </w:r>
            <w:r w:rsidRPr="00FA0C60">
              <w:rPr>
                <w:b/>
                <w:bCs/>
              </w:rPr>
              <w:t xml:space="preserve"> 30 </w:t>
            </w:r>
            <w:r w:rsidRPr="00FA0C60">
              <w:rPr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0692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 xml:space="preserve">2,914 </w:t>
            </w:r>
            <w:r w:rsidRPr="00FA0C60">
              <w:rPr>
                <w:b/>
                <w:bCs/>
              </w:rPr>
              <w:t>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FF4B8" w14:textId="77777777" w:rsidR="00FA0C60" w:rsidRPr="00FA0C60" w:rsidRDefault="00FA0C60" w:rsidP="00FA0C60">
            <w:pPr>
              <w:rPr>
                <w:b/>
                <w:bCs/>
              </w:rPr>
            </w:pPr>
            <w:r w:rsidRPr="00FA0C60">
              <w:rPr>
                <w:b/>
                <w:bCs/>
              </w:rPr>
              <w:t>2.43x</w:t>
            </w:r>
          </w:p>
        </w:tc>
      </w:tr>
    </w:tbl>
    <w:p w14:paraId="2F44DD43" w14:textId="77777777" w:rsidR="00FA0C60" w:rsidRPr="00FA0C60" w:rsidRDefault="00FA0C60" w:rsidP="00FA0C60">
      <w:pPr>
        <w:numPr>
          <w:ilvl w:val="0"/>
          <w:numId w:val="73"/>
        </w:numPr>
        <w:rPr>
          <w:b/>
          <w:bCs/>
        </w:rPr>
      </w:pPr>
      <w:r w:rsidRPr="00FA0C60">
        <w:rPr>
          <w:b/>
          <w:bCs/>
        </w:rPr>
        <w:lastRenderedPageBreak/>
        <w:t>實質購買力：通膨修正能確保</w:t>
      </w:r>
      <w:r w:rsidRPr="00FA0C60">
        <w:rPr>
          <w:b/>
          <w:bCs/>
        </w:rPr>
        <w:t xml:space="preserve"> N </w:t>
      </w:r>
      <w:r w:rsidRPr="00FA0C60">
        <w:rPr>
          <w:b/>
          <w:bCs/>
        </w:rPr>
        <w:t>年後的</w:t>
      </w:r>
      <w:r w:rsidRPr="00FA0C60">
        <w:rPr>
          <w:b/>
          <w:bCs/>
        </w:rPr>
        <w:t xml:space="preserve"> 9.7 </w:t>
      </w:r>
      <w:r w:rsidRPr="00FA0C60">
        <w:rPr>
          <w:b/>
          <w:bCs/>
        </w:rPr>
        <w:t>萬與今日</w:t>
      </w:r>
      <w:r w:rsidRPr="00FA0C60">
        <w:rPr>
          <w:b/>
          <w:bCs/>
        </w:rPr>
        <w:t xml:space="preserve"> 4 </w:t>
      </w:r>
      <w:r w:rsidRPr="00FA0C60">
        <w:rPr>
          <w:b/>
          <w:bCs/>
        </w:rPr>
        <w:t>萬具備等值購買力。</w:t>
      </w:r>
    </w:p>
    <w:p w14:paraId="7FE91007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pict w14:anchorId="74ADCC3F">
          <v:rect id="_x0000_i1212" style="width:0;height:1.5pt" o:hralign="center" o:hrstd="t" o:hr="t" fillcolor="#a0a0a0" stroked="f"/>
        </w:pict>
      </w:r>
    </w:p>
    <w:p w14:paraId="2B18E1B1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>五、</w:t>
      </w:r>
      <w:r w:rsidRPr="00FA0C60">
        <w:rPr>
          <w:b/>
          <w:bCs/>
        </w:rPr>
        <w:t xml:space="preserve"> </w:t>
      </w:r>
      <w:r w:rsidRPr="00FA0C60">
        <w:rPr>
          <w:b/>
          <w:bCs/>
        </w:rPr>
        <w:t>系統功能與運作流程</w:t>
      </w:r>
    </w:p>
    <w:p w14:paraId="74971498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1. </w:t>
      </w:r>
      <w:r w:rsidRPr="00FA0C60">
        <w:rPr>
          <w:b/>
          <w:bCs/>
        </w:rPr>
        <w:t>資料處理流程</w:t>
      </w:r>
    </w:p>
    <w:p w14:paraId="62FE0E7E" w14:textId="77777777" w:rsidR="00FA0C60" w:rsidRPr="00FA0C60" w:rsidRDefault="00FA0C60" w:rsidP="00FA0C60">
      <w:pPr>
        <w:numPr>
          <w:ilvl w:val="0"/>
          <w:numId w:val="74"/>
        </w:numPr>
        <w:rPr>
          <w:b/>
          <w:bCs/>
        </w:rPr>
      </w:pPr>
      <w:r w:rsidRPr="00FA0C60">
        <w:rPr>
          <w:b/>
          <w:bCs/>
        </w:rPr>
        <w:t>輸入參數：設定年齡、啟動資金、定期定額金額及退休月支出。</w:t>
      </w:r>
    </w:p>
    <w:p w14:paraId="477EDA9B" w14:textId="77777777" w:rsidR="00FA0C60" w:rsidRPr="00FA0C60" w:rsidRDefault="00FA0C60" w:rsidP="00FA0C60">
      <w:pPr>
        <w:numPr>
          <w:ilvl w:val="0"/>
          <w:numId w:val="74"/>
        </w:numPr>
        <w:rPr>
          <w:b/>
          <w:bCs/>
        </w:rPr>
      </w:pPr>
      <w:proofErr w:type="gramStart"/>
      <w:r w:rsidRPr="00FA0C60">
        <w:rPr>
          <w:b/>
          <w:bCs/>
        </w:rPr>
        <w:t>資料爬取</w:t>
      </w:r>
      <w:proofErr w:type="gramEnd"/>
      <w:r w:rsidRPr="00FA0C60">
        <w:rPr>
          <w:b/>
          <w:bCs/>
        </w:rPr>
        <w:t>：自動獲取</w:t>
      </w:r>
      <w:r w:rsidRPr="00FA0C60">
        <w:rPr>
          <w:b/>
          <w:bCs/>
        </w:rPr>
        <w:t xml:space="preserve"> ETF </w:t>
      </w:r>
      <w:r w:rsidRPr="00FA0C60">
        <w:rPr>
          <w:b/>
          <w:bCs/>
        </w:rPr>
        <w:t>歷史股價與配息檔案。</w:t>
      </w:r>
    </w:p>
    <w:p w14:paraId="68953630" w14:textId="77777777" w:rsidR="00FA0C60" w:rsidRPr="00FA0C60" w:rsidRDefault="00FA0C60" w:rsidP="00FA0C60">
      <w:pPr>
        <w:numPr>
          <w:ilvl w:val="0"/>
          <w:numId w:val="74"/>
        </w:numPr>
        <w:rPr>
          <w:b/>
          <w:bCs/>
        </w:rPr>
      </w:pPr>
      <w:r w:rsidRPr="00FA0C60">
        <w:rPr>
          <w:b/>
          <w:bCs/>
        </w:rPr>
        <w:t>分段回測：</w:t>
      </w:r>
      <w:r w:rsidRPr="00FA0C60">
        <w:rPr>
          <w:b/>
          <w:bCs/>
        </w:rPr>
        <w:t xml:space="preserve"> </w:t>
      </w:r>
    </w:p>
    <w:p w14:paraId="3F4CAD06" w14:textId="77777777" w:rsidR="00FA0C60" w:rsidRPr="00FA0C60" w:rsidRDefault="00FA0C60" w:rsidP="00FA0C60">
      <w:pPr>
        <w:numPr>
          <w:ilvl w:val="1"/>
          <w:numId w:val="74"/>
        </w:numPr>
        <w:rPr>
          <w:b/>
          <w:bCs/>
        </w:rPr>
      </w:pPr>
      <w:r w:rsidRPr="00FA0C60">
        <w:rPr>
          <w:b/>
          <w:bCs/>
        </w:rPr>
        <w:t>Phase 1</w:t>
      </w:r>
      <w:r w:rsidRPr="00FA0C60">
        <w:rPr>
          <w:b/>
          <w:bCs/>
        </w:rPr>
        <w:t>：歷史回測（上市日至今天），顯示實際資產軌跡。</w:t>
      </w:r>
    </w:p>
    <w:p w14:paraId="7B9693FF" w14:textId="77777777" w:rsidR="00FA0C60" w:rsidRPr="00FA0C60" w:rsidRDefault="00FA0C60" w:rsidP="00FA0C60">
      <w:pPr>
        <w:numPr>
          <w:ilvl w:val="1"/>
          <w:numId w:val="74"/>
        </w:numPr>
        <w:rPr>
          <w:b/>
          <w:bCs/>
        </w:rPr>
      </w:pPr>
      <w:r w:rsidRPr="00FA0C60">
        <w:rPr>
          <w:b/>
          <w:bCs/>
        </w:rPr>
        <w:t>Phase 2</w:t>
      </w:r>
      <w:r w:rsidRPr="00FA0C60">
        <w:rPr>
          <w:b/>
          <w:bCs/>
        </w:rPr>
        <w:t>：未來推估（今天至</w:t>
      </w:r>
      <w:r w:rsidRPr="00FA0C60">
        <w:rPr>
          <w:b/>
          <w:bCs/>
        </w:rPr>
        <w:t xml:space="preserve"> 30 </w:t>
      </w:r>
      <w:r w:rsidRPr="00FA0C60">
        <w:rPr>
          <w:b/>
          <w:bCs/>
        </w:rPr>
        <w:t>年內），依據歷史統計預測達成時間。</w:t>
      </w:r>
    </w:p>
    <w:p w14:paraId="5AB88F27" w14:textId="77777777" w:rsidR="00FA0C60" w:rsidRPr="00FA0C60" w:rsidRDefault="00FA0C60" w:rsidP="00FA0C60">
      <w:pPr>
        <w:numPr>
          <w:ilvl w:val="0"/>
          <w:numId w:val="74"/>
        </w:numPr>
        <w:rPr>
          <w:b/>
          <w:bCs/>
        </w:rPr>
      </w:pPr>
      <w:r w:rsidRPr="00FA0C60">
        <w:rPr>
          <w:b/>
          <w:bCs/>
        </w:rPr>
        <w:t>視覺化產出：提供資產累積趨勢圖，並標</w:t>
      </w:r>
      <w:proofErr w:type="gramStart"/>
      <w:r w:rsidRPr="00FA0C60">
        <w:rPr>
          <w:b/>
          <w:bCs/>
        </w:rPr>
        <w:t>註</w:t>
      </w:r>
      <w:proofErr w:type="gramEnd"/>
      <w:r w:rsidRPr="00FA0C60">
        <w:rPr>
          <w:b/>
          <w:bCs/>
        </w:rPr>
        <w:t>「通膨門檻」與「</w:t>
      </w:r>
      <w:r w:rsidRPr="00FA0C60">
        <w:rPr>
          <w:b/>
          <w:bCs/>
        </w:rPr>
        <w:t xml:space="preserve">8% </w:t>
      </w:r>
      <w:r w:rsidRPr="00FA0C60">
        <w:rPr>
          <w:b/>
          <w:bCs/>
        </w:rPr>
        <w:t>理論報酬線」作為對照。</w:t>
      </w:r>
    </w:p>
    <w:p w14:paraId="7558AC32" w14:textId="77777777" w:rsidR="00FA0C60" w:rsidRPr="00FA0C60" w:rsidRDefault="00FA0C60" w:rsidP="00FA0C60">
      <w:pPr>
        <w:rPr>
          <w:b/>
          <w:bCs/>
        </w:rPr>
      </w:pPr>
      <w:r w:rsidRPr="00FA0C60">
        <w:rPr>
          <w:b/>
          <w:bCs/>
        </w:rPr>
        <w:t xml:space="preserve">2. </w:t>
      </w:r>
      <w:r w:rsidRPr="00FA0C60">
        <w:rPr>
          <w:b/>
          <w:bCs/>
        </w:rPr>
        <w:t>數據快取機制</w:t>
      </w:r>
      <w:r w:rsidRPr="00FA0C60">
        <w:rPr>
          <w:b/>
          <w:bCs/>
        </w:rPr>
        <w:t xml:space="preserve"> (</w:t>
      </w:r>
      <w:r w:rsidRPr="00FA0C60">
        <w:rPr>
          <w:b/>
          <w:bCs/>
        </w:rPr>
        <w:t>三層架構</w:t>
      </w:r>
      <w:r w:rsidRPr="00FA0C60">
        <w:rPr>
          <w:b/>
          <w:bCs/>
        </w:rPr>
        <w:t>)</w:t>
      </w:r>
    </w:p>
    <w:p w14:paraId="65D302FB" w14:textId="77777777" w:rsidR="00FA0C60" w:rsidRPr="00FA0C60" w:rsidRDefault="00FA0C60" w:rsidP="00FA0C60">
      <w:pPr>
        <w:numPr>
          <w:ilvl w:val="0"/>
          <w:numId w:val="75"/>
        </w:numPr>
        <w:rPr>
          <w:b/>
          <w:bCs/>
        </w:rPr>
      </w:pPr>
      <w:r w:rsidRPr="00FA0C60">
        <w:rPr>
          <w:b/>
          <w:bCs/>
        </w:rPr>
        <w:t>記憶體快取：防止雲端平台休眠</w:t>
      </w:r>
      <w:proofErr w:type="gramStart"/>
      <w:r w:rsidRPr="00FA0C60">
        <w:rPr>
          <w:b/>
          <w:bCs/>
        </w:rPr>
        <w:t>重啟後暫</w:t>
      </w:r>
      <w:proofErr w:type="gramEnd"/>
      <w:r w:rsidRPr="00FA0C60">
        <w:rPr>
          <w:b/>
          <w:bCs/>
        </w:rPr>
        <w:t>存資料遺失。</w:t>
      </w:r>
    </w:p>
    <w:p w14:paraId="6B264B18" w14:textId="77777777" w:rsidR="00FA0C60" w:rsidRPr="00FA0C60" w:rsidRDefault="00FA0C60" w:rsidP="00FA0C60">
      <w:pPr>
        <w:numPr>
          <w:ilvl w:val="0"/>
          <w:numId w:val="75"/>
        </w:numPr>
        <w:rPr>
          <w:b/>
          <w:bCs/>
        </w:rPr>
      </w:pPr>
      <w:r w:rsidRPr="00FA0C60">
        <w:rPr>
          <w:b/>
          <w:bCs/>
        </w:rPr>
        <w:t>磁碟快取：儲存</w:t>
      </w:r>
      <w:r w:rsidRPr="00FA0C60">
        <w:rPr>
          <w:b/>
          <w:bCs/>
        </w:rPr>
        <w:t xml:space="preserve"> CSV </w:t>
      </w:r>
      <w:r w:rsidRPr="00FA0C60">
        <w:rPr>
          <w:b/>
          <w:bCs/>
        </w:rPr>
        <w:t>檔案以加快重複回測速度。</w:t>
      </w:r>
    </w:p>
    <w:p w14:paraId="371BD7D9" w14:textId="77777777" w:rsidR="00FA0C60" w:rsidRPr="00FA0C60" w:rsidRDefault="00FA0C60" w:rsidP="00FA0C60">
      <w:pPr>
        <w:numPr>
          <w:ilvl w:val="0"/>
          <w:numId w:val="75"/>
        </w:numPr>
        <w:rPr>
          <w:b/>
          <w:bCs/>
        </w:rPr>
      </w:pPr>
      <w:r w:rsidRPr="00FA0C60">
        <w:rPr>
          <w:b/>
          <w:bCs/>
        </w:rPr>
        <w:t>結果快取：避免重複計算相同的參數組合。</w:t>
      </w:r>
    </w:p>
    <w:p w14:paraId="43BCC207" w14:textId="77777777" w:rsidR="00B17E79" w:rsidRPr="00FA0C60" w:rsidRDefault="00B17E79" w:rsidP="00FA0C60"/>
    <w:sectPr w:rsidR="00B17E79" w:rsidRPr="00FA0C60" w:rsidSect="009D5556">
      <w:footerReference w:type="default" r:id="rId7"/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1346" w14:textId="77777777" w:rsidR="003A5F9E" w:rsidRDefault="003A5F9E" w:rsidP="009D5556">
      <w:pPr>
        <w:spacing w:after="0" w:line="240" w:lineRule="auto"/>
      </w:pPr>
      <w:r>
        <w:separator/>
      </w:r>
    </w:p>
  </w:endnote>
  <w:endnote w:type="continuationSeparator" w:id="0">
    <w:p w14:paraId="70A7B4E3" w14:textId="77777777" w:rsidR="003A5F9E" w:rsidRDefault="003A5F9E" w:rsidP="009D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370930"/>
      <w:docPartObj>
        <w:docPartGallery w:val="Page Numbers (Bottom of Page)"/>
        <w:docPartUnique/>
      </w:docPartObj>
    </w:sdtPr>
    <w:sdtContent>
      <w:p w14:paraId="5EB38CF5" w14:textId="46F0B018" w:rsidR="006126AE" w:rsidRDefault="006126A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EE65013" w14:textId="77777777" w:rsidR="006126AE" w:rsidRDefault="006126A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6CB1" w14:textId="77777777" w:rsidR="003A5F9E" w:rsidRDefault="003A5F9E" w:rsidP="009D5556">
      <w:pPr>
        <w:spacing w:after="0" w:line="240" w:lineRule="auto"/>
      </w:pPr>
      <w:r>
        <w:separator/>
      </w:r>
    </w:p>
  </w:footnote>
  <w:footnote w:type="continuationSeparator" w:id="0">
    <w:p w14:paraId="20E9318D" w14:textId="77777777" w:rsidR="003A5F9E" w:rsidRDefault="003A5F9E" w:rsidP="009D5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16A"/>
    <w:multiLevelType w:val="multilevel"/>
    <w:tmpl w:val="D20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53E"/>
    <w:multiLevelType w:val="multilevel"/>
    <w:tmpl w:val="06D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21DB"/>
    <w:multiLevelType w:val="multilevel"/>
    <w:tmpl w:val="1A5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605F"/>
    <w:multiLevelType w:val="multilevel"/>
    <w:tmpl w:val="F49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71F7B"/>
    <w:multiLevelType w:val="multilevel"/>
    <w:tmpl w:val="B2E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211EB"/>
    <w:multiLevelType w:val="multilevel"/>
    <w:tmpl w:val="3CDE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833AC"/>
    <w:multiLevelType w:val="multilevel"/>
    <w:tmpl w:val="FF70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052DC"/>
    <w:multiLevelType w:val="multilevel"/>
    <w:tmpl w:val="07E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C1632"/>
    <w:multiLevelType w:val="multilevel"/>
    <w:tmpl w:val="5AF6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7D82"/>
    <w:multiLevelType w:val="multilevel"/>
    <w:tmpl w:val="81B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6398C"/>
    <w:multiLevelType w:val="multilevel"/>
    <w:tmpl w:val="FE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B3AD3"/>
    <w:multiLevelType w:val="multilevel"/>
    <w:tmpl w:val="D8C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73006"/>
    <w:multiLevelType w:val="multilevel"/>
    <w:tmpl w:val="11EC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A2679"/>
    <w:multiLevelType w:val="multilevel"/>
    <w:tmpl w:val="35B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84072"/>
    <w:multiLevelType w:val="multilevel"/>
    <w:tmpl w:val="0E5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67870"/>
    <w:multiLevelType w:val="multilevel"/>
    <w:tmpl w:val="56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86360"/>
    <w:multiLevelType w:val="multilevel"/>
    <w:tmpl w:val="3852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F23D66"/>
    <w:multiLevelType w:val="multilevel"/>
    <w:tmpl w:val="66B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107DFD"/>
    <w:multiLevelType w:val="multilevel"/>
    <w:tmpl w:val="3DD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3780E"/>
    <w:multiLevelType w:val="multilevel"/>
    <w:tmpl w:val="F04C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3743DE"/>
    <w:multiLevelType w:val="multilevel"/>
    <w:tmpl w:val="A826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9C4494"/>
    <w:multiLevelType w:val="multilevel"/>
    <w:tmpl w:val="46A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56A01"/>
    <w:multiLevelType w:val="multilevel"/>
    <w:tmpl w:val="0AE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66341"/>
    <w:multiLevelType w:val="multilevel"/>
    <w:tmpl w:val="F7E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D5BD3"/>
    <w:multiLevelType w:val="multilevel"/>
    <w:tmpl w:val="E5B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919F1"/>
    <w:multiLevelType w:val="multilevel"/>
    <w:tmpl w:val="F13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180F79"/>
    <w:multiLevelType w:val="multilevel"/>
    <w:tmpl w:val="A4D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91F18"/>
    <w:multiLevelType w:val="multilevel"/>
    <w:tmpl w:val="182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D42FA"/>
    <w:multiLevelType w:val="multilevel"/>
    <w:tmpl w:val="8BC4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DF5A1F"/>
    <w:multiLevelType w:val="multilevel"/>
    <w:tmpl w:val="434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A209C"/>
    <w:multiLevelType w:val="multilevel"/>
    <w:tmpl w:val="6EA4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B0BE4"/>
    <w:multiLevelType w:val="multilevel"/>
    <w:tmpl w:val="C4FE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E81A65"/>
    <w:multiLevelType w:val="multilevel"/>
    <w:tmpl w:val="81C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5314E2"/>
    <w:multiLevelType w:val="multilevel"/>
    <w:tmpl w:val="A74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B73734C"/>
    <w:multiLevelType w:val="multilevel"/>
    <w:tmpl w:val="131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90E3D"/>
    <w:multiLevelType w:val="multilevel"/>
    <w:tmpl w:val="E20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45D41"/>
    <w:multiLevelType w:val="multilevel"/>
    <w:tmpl w:val="A6C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98588E"/>
    <w:multiLevelType w:val="multilevel"/>
    <w:tmpl w:val="FCA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1F7C2E"/>
    <w:multiLevelType w:val="multilevel"/>
    <w:tmpl w:val="916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DF81E1D"/>
    <w:multiLevelType w:val="multilevel"/>
    <w:tmpl w:val="F06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B092C"/>
    <w:multiLevelType w:val="multilevel"/>
    <w:tmpl w:val="2C9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DD52B2"/>
    <w:multiLevelType w:val="multilevel"/>
    <w:tmpl w:val="62BC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9B4BEF"/>
    <w:multiLevelType w:val="multilevel"/>
    <w:tmpl w:val="BE8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E63C4"/>
    <w:multiLevelType w:val="multilevel"/>
    <w:tmpl w:val="293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752E66"/>
    <w:multiLevelType w:val="multilevel"/>
    <w:tmpl w:val="54F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7C6A11"/>
    <w:multiLevelType w:val="multilevel"/>
    <w:tmpl w:val="B18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6651C4"/>
    <w:multiLevelType w:val="multilevel"/>
    <w:tmpl w:val="44D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9B4618"/>
    <w:multiLevelType w:val="multilevel"/>
    <w:tmpl w:val="846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960944"/>
    <w:multiLevelType w:val="multilevel"/>
    <w:tmpl w:val="530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046889"/>
    <w:multiLevelType w:val="multilevel"/>
    <w:tmpl w:val="420E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6012FE"/>
    <w:multiLevelType w:val="multilevel"/>
    <w:tmpl w:val="B822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B01D77"/>
    <w:multiLevelType w:val="multilevel"/>
    <w:tmpl w:val="17B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7D5BCE"/>
    <w:multiLevelType w:val="multilevel"/>
    <w:tmpl w:val="6236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6F7EF2"/>
    <w:multiLevelType w:val="multilevel"/>
    <w:tmpl w:val="A74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E4426"/>
    <w:multiLevelType w:val="multilevel"/>
    <w:tmpl w:val="4C1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BDB3889"/>
    <w:multiLevelType w:val="multilevel"/>
    <w:tmpl w:val="37E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9F1A0F"/>
    <w:multiLevelType w:val="multilevel"/>
    <w:tmpl w:val="F028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620B3A"/>
    <w:multiLevelType w:val="multilevel"/>
    <w:tmpl w:val="BD2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FC8524F"/>
    <w:multiLevelType w:val="multilevel"/>
    <w:tmpl w:val="B23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6E7D60"/>
    <w:multiLevelType w:val="multilevel"/>
    <w:tmpl w:val="1F5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37176F"/>
    <w:multiLevelType w:val="multilevel"/>
    <w:tmpl w:val="5896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535133"/>
    <w:multiLevelType w:val="multilevel"/>
    <w:tmpl w:val="A46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6146FF"/>
    <w:multiLevelType w:val="multilevel"/>
    <w:tmpl w:val="ABD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540139"/>
    <w:multiLevelType w:val="multilevel"/>
    <w:tmpl w:val="09D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15B6F"/>
    <w:multiLevelType w:val="multilevel"/>
    <w:tmpl w:val="07D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8405A"/>
    <w:multiLevelType w:val="multilevel"/>
    <w:tmpl w:val="227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D27383"/>
    <w:multiLevelType w:val="multilevel"/>
    <w:tmpl w:val="59C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0E4D09"/>
    <w:multiLevelType w:val="multilevel"/>
    <w:tmpl w:val="427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3A63A2"/>
    <w:multiLevelType w:val="multilevel"/>
    <w:tmpl w:val="139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8D2642"/>
    <w:multiLevelType w:val="multilevel"/>
    <w:tmpl w:val="B34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BC1A52"/>
    <w:multiLevelType w:val="multilevel"/>
    <w:tmpl w:val="FEC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0F127C0"/>
    <w:multiLevelType w:val="multilevel"/>
    <w:tmpl w:val="34B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B6198"/>
    <w:multiLevelType w:val="multilevel"/>
    <w:tmpl w:val="BE18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4436A5"/>
    <w:multiLevelType w:val="multilevel"/>
    <w:tmpl w:val="08F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783146"/>
    <w:multiLevelType w:val="multilevel"/>
    <w:tmpl w:val="F15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34455">
    <w:abstractNumId w:val="16"/>
  </w:num>
  <w:num w:numId="2" w16cid:durableId="2042244770">
    <w:abstractNumId w:val="61"/>
  </w:num>
  <w:num w:numId="3" w16cid:durableId="1566911728">
    <w:abstractNumId w:val="54"/>
  </w:num>
  <w:num w:numId="4" w16cid:durableId="734469522">
    <w:abstractNumId w:val="32"/>
  </w:num>
  <w:num w:numId="5" w16cid:durableId="1728452315">
    <w:abstractNumId w:val="59"/>
  </w:num>
  <w:num w:numId="6" w16cid:durableId="144323200">
    <w:abstractNumId w:val="25"/>
  </w:num>
  <w:num w:numId="7" w16cid:durableId="167448104">
    <w:abstractNumId w:val="3"/>
  </w:num>
  <w:num w:numId="8" w16cid:durableId="1128234348">
    <w:abstractNumId w:val="38"/>
  </w:num>
  <w:num w:numId="9" w16cid:durableId="1691370336">
    <w:abstractNumId w:val="48"/>
  </w:num>
  <w:num w:numId="10" w16cid:durableId="330715661">
    <w:abstractNumId w:val="33"/>
  </w:num>
  <w:num w:numId="11" w16cid:durableId="1709261031">
    <w:abstractNumId w:val="37"/>
  </w:num>
  <w:num w:numId="12" w16cid:durableId="444812410">
    <w:abstractNumId w:val="44"/>
  </w:num>
  <w:num w:numId="13" w16cid:durableId="106775693">
    <w:abstractNumId w:val="70"/>
  </w:num>
  <w:num w:numId="14" w16cid:durableId="885022301">
    <w:abstractNumId w:val="17"/>
  </w:num>
  <w:num w:numId="15" w16cid:durableId="433285919">
    <w:abstractNumId w:val="57"/>
  </w:num>
  <w:num w:numId="16" w16cid:durableId="1319266106">
    <w:abstractNumId w:val="41"/>
  </w:num>
  <w:num w:numId="17" w16cid:durableId="160464367">
    <w:abstractNumId w:val="46"/>
  </w:num>
  <w:num w:numId="18" w16cid:durableId="1515143770">
    <w:abstractNumId w:val="36"/>
  </w:num>
  <w:num w:numId="19" w16cid:durableId="1712070003">
    <w:abstractNumId w:val="20"/>
  </w:num>
  <w:num w:numId="20" w16cid:durableId="1124274572">
    <w:abstractNumId w:val="60"/>
  </w:num>
  <w:num w:numId="21" w16cid:durableId="845022805">
    <w:abstractNumId w:val="52"/>
  </w:num>
  <w:num w:numId="22" w16cid:durableId="438522996">
    <w:abstractNumId w:val="51"/>
  </w:num>
  <w:num w:numId="23" w16cid:durableId="158352180">
    <w:abstractNumId w:val="11"/>
  </w:num>
  <w:num w:numId="24" w16cid:durableId="883323417">
    <w:abstractNumId w:val="67"/>
  </w:num>
  <w:num w:numId="25" w16cid:durableId="136412917">
    <w:abstractNumId w:val="71"/>
  </w:num>
  <w:num w:numId="26" w16cid:durableId="268972480">
    <w:abstractNumId w:val="43"/>
  </w:num>
  <w:num w:numId="27" w16cid:durableId="1088884349">
    <w:abstractNumId w:val="66"/>
  </w:num>
  <w:num w:numId="28" w16cid:durableId="258564352">
    <w:abstractNumId w:val="72"/>
  </w:num>
  <w:num w:numId="29" w16cid:durableId="1741901128">
    <w:abstractNumId w:val="9"/>
  </w:num>
  <w:num w:numId="30" w16cid:durableId="1486706026">
    <w:abstractNumId w:val="7"/>
  </w:num>
  <w:num w:numId="31" w16cid:durableId="1497108269">
    <w:abstractNumId w:val="13"/>
  </w:num>
  <w:num w:numId="32" w16cid:durableId="2060131001">
    <w:abstractNumId w:val="63"/>
  </w:num>
  <w:num w:numId="33" w16cid:durableId="778258844">
    <w:abstractNumId w:val="53"/>
  </w:num>
  <w:num w:numId="34" w16cid:durableId="1600137066">
    <w:abstractNumId w:val="31"/>
  </w:num>
  <w:num w:numId="35" w16cid:durableId="1355226562">
    <w:abstractNumId w:val="50"/>
  </w:num>
  <w:num w:numId="36" w16cid:durableId="69616507">
    <w:abstractNumId w:val="12"/>
  </w:num>
  <w:num w:numId="37" w16cid:durableId="1261983293">
    <w:abstractNumId w:val="73"/>
  </w:num>
  <w:num w:numId="38" w16cid:durableId="1998149809">
    <w:abstractNumId w:val="19"/>
  </w:num>
  <w:num w:numId="39" w16cid:durableId="599947735">
    <w:abstractNumId w:val="49"/>
  </w:num>
  <w:num w:numId="40" w16cid:durableId="1152672642">
    <w:abstractNumId w:val="5"/>
  </w:num>
  <w:num w:numId="41" w16cid:durableId="687021399">
    <w:abstractNumId w:val="39"/>
  </w:num>
  <w:num w:numId="42" w16cid:durableId="32194312">
    <w:abstractNumId w:val="45"/>
  </w:num>
  <w:num w:numId="43" w16cid:durableId="1562399904">
    <w:abstractNumId w:val="58"/>
  </w:num>
  <w:num w:numId="44" w16cid:durableId="1902596449">
    <w:abstractNumId w:val="74"/>
  </w:num>
  <w:num w:numId="45" w16cid:durableId="1395545864">
    <w:abstractNumId w:val="28"/>
  </w:num>
  <w:num w:numId="46" w16cid:durableId="437531707">
    <w:abstractNumId w:val="6"/>
  </w:num>
  <w:num w:numId="47" w16cid:durableId="2011829383">
    <w:abstractNumId w:val="24"/>
  </w:num>
  <w:num w:numId="48" w16cid:durableId="2131430659">
    <w:abstractNumId w:val="15"/>
  </w:num>
  <w:num w:numId="49" w16cid:durableId="2096394066">
    <w:abstractNumId w:val="14"/>
  </w:num>
  <w:num w:numId="50" w16cid:durableId="1875844552">
    <w:abstractNumId w:val="68"/>
  </w:num>
  <w:num w:numId="51" w16cid:durableId="1077049215">
    <w:abstractNumId w:val="27"/>
  </w:num>
  <w:num w:numId="52" w16cid:durableId="600340459">
    <w:abstractNumId w:val="34"/>
  </w:num>
  <w:num w:numId="53" w16cid:durableId="1421487586">
    <w:abstractNumId w:val="35"/>
  </w:num>
  <w:num w:numId="54" w16cid:durableId="1345086481">
    <w:abstractNumId w:val="55"/>
  </w:num>
  <w:num w:numId="55" w16cid:durableId="5640747">
    <w:abstractNumId w:val="22"/>
  </w:num>
  <w:num w:numId="56" w16cid:durableId="1871869341">
    <w:abstractNumId w:val="1"/>
  </w:num>
  <w:num w:numId="57" w16cid:durableId="1445729001">
    <w:abstractNumId w:val="65"/>
  </w:num>
  <w:num w:numId="58" w16cid:durableId="1249773413">
    <w:abstractNumId w:val="8"/>
  </w:num>
  <w:num w:numId="59" w16cid:durableId="159079427">
    <w:abstractNumId w:val="47"/>
  </w:num>
  <w:num w:numId="60" w16cid:durableId="988481599">
    <w:abstractNumId w:val="18"/>
  </w:num>
  <w:num w:numId="61" w16cid:durableId="1463380219">
    <w:abstractNumId w:val="4"/>
  </w:num>
  <w:num w:numId="62" w16cid:durableId="626813950">
    <w:abstractNumId w:val="26"/>
  </w:num>
  <w:num w:numId="63" w16cid:durableId="850994001">
    <w:abstractNumId w:val="30"/>
  </w:num>
  <w:num w:numId="64" w16cid:durableId="826744519">
    <w:abstractNumId w:val="0"/>
  </w:num>
  <w:num w:numId="65" w16cid:durableId="1021130994">
    <w:abstractNumId w:val="64"/>
  </w:num>
  <w:num w:numId="66" w16cid:durableId="314460378">
    <w:abstractNumId w:val="62"/>
  </w:num>
  <w:num w:numId="67" w16cid:durableId="1664772046">
    <w:abstractNumId w:val="29"/>
  </w:num>
  <w:num w:numId="68" w16cid:durableId="324747152">
    <w:abstractNumId w:val="2"/>
  </w:num>
  <w:num w:numId="69" w16cid:durableId="210848460">
    <w:abstractNumId w:val="10"/>
  </w:num>
  <w:num w:numId="70" w16cid:durableId="915936121">
    <w:abstractNumId w:val="40"/>
  </w:num>
  <w:num w:numId="71" w16cid:durableId="373775707">
    <w:abstractNumId w:val="42"/>
  </w:num>
  <w:num w:numId="72" w16cid:durableId="590507866">
    <w:abstractNumId w:val="23"/>
  </w:num>
  <w:num w:numId="73" w16cid:durableId="790054628">
    <w:abstractNumId w:val="69"/>
  </w:num>
  <w:num w:numId="74" w16cid:durableId="978150991">
    <w:abstractNumId w:val="56"/>
  </w:num>
  <w:num w:numId="75" w16cid:durableId="1458291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56"/>
    <w:rsid w:val="000F3F50"/>
    <w:rsid w:val="002B29F7"/>
    <w:rsid w:val="002F6E6F"/>
    <w:rsid w:val="00347DFB"/>
    <w:rsid w:val="003A48BC"/>
    <w:rsid w:val="003A5F9E"/>
    <w:rsid w:val="004C4C7B"/>
    <w:rsid w:val="0053152B"/>
    <w:rsid w:val="006126AE"/>
    <w:rsid w:val="00886582"/>
    <w:rsid w:val="009D5556"/>
    <w:rsid w:val="00A632AA"/>
    <w:rsid w:val="00B04FD2"/>
    <w:rsid w:val="00B17E79"/>
    <w:rsid w:val="00C314F4"/>
    <w:rsid w:val="00C53DDF"/>
    <w:rsid w:val="00C670F6"/>
    <w:rsid w:val="00CB6C62"/>
    <w:rsid w:val="00DD1832"/>
    <w:rsid w:val="00EB299E"/>
    <w:rsid w:val="00EC6B72"/>
    <w:rsid w:val="00EE6AD7"/>
    <w:rsid w:val="00F003F0"/>
    <w:rsid w:val="00FA0C60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4D38E"/>
  <w15:chartTrackingRefBased/>
  <w15:docId w15:val="{98CAC9BE-12A4-48D7-89AC-2E446F36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5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5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5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5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5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5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55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55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55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55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55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5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5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5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5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5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5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55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D555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315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3152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696</Words>
  <Characters>1067</Characters>
  <Application>Microsoft Office Word</Application>
  <DocSecurity>0</DocSecurity>
  <Lines>76</Lines>
  <Paragraphs>97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林正修</dc:creator>
  <cp:keywords/>
  <dc:description/>
  <cp:lastModifiedBy>林正修</cp:lastModifiedBy>
  <cp:revision>4</cp:revision>
  <dcterms:created xsi:type="dcterms:W3CDTF">2026-02-15T10:05:00Z</dcterms:created>
  <dcterms:modified xsi:type="dcterms:W3CDTF">2026-02-15T10:13:00Z</dcterms:modified>
</cp:coreProperties>
</file>