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36"/>
        </w:rPr>
        <w:t xml:space="preserve">电池 UN38.3 检测报告</w:t>
      </w:r>
    </w:p>
    <w:p>
      <w:r>
        <w:rPr>
          <w:sz w:val="24"/>
        </w:rPr>
        <w:t xml:space="preserve">本报告依据联合国《试验和标准手册》第3部分38.3节出具。</w:t>
      </w:r>
    </w:p>
    <w:tbl>
      <w:tblPr>
        <w:tblW w:w="0" w:type="auto"/>
      </w:tblPr>
      <w:tr>
        <w:tc>
          <w:tcPr>
            <w:tcW w:w="2000" w:type="dxa"/>
          </w:tcPr>
          <w:p>
            <w:r>
              <w:rPr>
                <w:sz w:val="20"/>
              </w:rPr>
              <w:t xml:space="preserve">制造商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深圳市某电池有限公司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型号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ABC-123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额定容量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3000mAh</w:t>
            </w:r>
          </w:p>
        </w:tc>
      </w:tr>
    </w:tbl>
    <w:tbl>
      <w:tblPr>
        <w:tblW w:w="0" w:type="auto"/>
      </w:tblPr>
      <w:tr>
        <w:tc>
          <w:tcPr>
            <w:tcW w:w="2000" w:type="dxa"/>
          </w:tcPr>
          <w:p>
            <w:r>
              <w:rPr>
                <w:sz w:val="20"/>
              </w:rPr>
              <w:t xml:space="preserve">测试项目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结果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判定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T.1 高度模拟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通过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合格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T.2 热冲击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通过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合格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 xml:space="preserve">T.3 振动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通过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合格</w:t>
            </w:r>
          </w:p>
        </w:tc>
      </w:tr>
    </w:tbl>
  </w:body>
</w:document>
</file>