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第五章、第六章逐项文字与内容审查</w:t>
      </w:r>
    </w:p>
    <w:p>
      <w:r>
        <w:t>审查对象：《第五章第六章.pdf》，扫描件共30页，对应正文印刷页码69—98。下列页码均采用印刷页码，括注给出段落、表格或公式位置。引文按原扫描页核录，跨行文字连续排写；未将OCR识别结果直接当作原文。仅列有具体依据的文字、数据、定义、计算及逻辑问题，不含一般润色或模型扩展建议，也不列符号本身与符号排版问题。</w:t>
      </w:r>
    </w:p>
    <w:p>
      <w:r>
        <w:t>本版已重新核验原文。式（6-4）原式为“不小于”关系，与正文一致，不列为错误；未将表5.9显示值的舍入差异直接判定为计算错误。</w:t>
      </w:r>
    </w:p>
    <w:p>
      <w:r>
        <w:rPr>
          <w:b/>
        </w:rPr>
        <w:t>1. 原句：“构建模型目标函数中考虑如下成本费用”。</w:t>
      </w:r>
      <w:r>
        <w:br/>
        <w:t>问题：“构建模型”与“目标函数中考虑”两个句式混接，句法结构不完整。（p71，5.2.2首段）</w:t>
      </w:r>
    </w:p>
    <w:p>
      <w:r>
        <w:rPr>
          <w:b/>
        </w:rPr>
        <w:t>2. 原句：“即商品g的头程运输成本与运输量的乘积”。</w:t>
      </w:r>
      <w:r>
        <w:br/>
        <w:t>问题：前文正在定义总运输费用，这里又用未区分单位费用与总费用的“头程运输成本”与运输量相乘，定义循环且计费层级混淆。式（5-1）实际乘的是单位商品运输费用。配送运输成本定义中存在同样问题。（p71，头程运输成本定义）</w:t>
      </w:r>
    </w:p>
    <w:p>
      <w:r>
        <w:rPr>
          <w:b/>
        </w:rPr>
        <w:t>3. 原句：“本文选取选取哈尔滨、佳木斯、大连、营口、丹东五个东北地区核心粮食出口城市作为供应点”。</w:t>
      </w:r>
      <w:r>
        <w:br/>
        <w:t>问题：“选取”连续重复。（p72，5.2.3第一句）</w:t>
      </w:r>
    </w:p>
    <w:p>
      <w:r>
        <w:rPr>
          <w:b/>
        </w:rPr>
        <w:t>4. 原句：“本研究所使用的运费数据均参考至实际数据”。</w:t>
      </w:r>
      <w:r>
        <w:br/>
        <w:t>问题：“参考至”搭配错误，“参考”的对象与介词结构混接。（p73，第一段末句）</w:t>
      </w:r>
    </w:p>
    <w:p>
      <w:r>
        <w:rPr>
          <w:b/>
        </w:rPr>
        <w:t>5. 原句：“建设成本则根据各城市GDP水平推算的单位面积工业土地价格计算”。</w:t>
      </w:r>
      <w:r>
        <w:br/>
        <w:t>问题：将按土地价格核算的土地费用直接定义为“建设成本”，费用概念不一致；文中未建立土地费用与完整建仓费用之间的等价关系。（p73，仓储参数段）</w:t>
      </w:r>
    </w:p>
    <w:p>
      <w:r>
        <w:rPr>
          <w:b/>
        </w:rPr>
        <w:t>6. 原句：“三类农产品的周消费需求量”。</w:t>
      </w:r>
      <w:r>
        <w:br/>
        <w:t>问题：需求及运输量按周核算，而表5.4一次性建仓费用直接与周运输费用相加，未统一费用期间。该目标值混合单周流量费用与建设投资，不能直接解释为同一期间的运营总费用。（p73—75，需求口径与目标成本对应处）</w:t>
      </w:r>
    </w:p>
    <w:p>
      <w:r>
        <w:rPr>
          <w:b/>
        </w:rPr>
        <w:t>7. 原句：“单位商品运输价格（元）”。</w:t>
      </w:r>
      <w:r>
        <w:br/>
        <w:t>问题：计费基准遗漏：“单位商品”未说明是一吨、一件还是一箱；后续货量以吨计，原始报价又以40英尺集装箱计，表中单位不足以确定费用计算口径。（p73—74，表5.1、表5.2表题）</w:t>
      </w:r>
    </w:p>
    <w:p>
      <w:r>
        <w:rPr>
          <w:b/>
        </w:rPr>
        <w:t>8. 原句：“5（札幌）、7（神户）、8（川崎）”。</w:t>
      </w:r>
      <w:r>
        <w:br/>
        <w:t>问题：这三个需求点在表5.5被分配给川崎仓，但表5.8及其续表将其分配给清州仓。两张结果表对同一最优网络的分配关系矛盾。（p76，表5.5，川崎仓对应需求点列）</w:t>
      </w:r>
    </w:p>
    <w:p>
      <w:r>
        <w:rPr>
          <w:b/>
        </w:rPr>
        <w:t>9. 原句：“在II（佳木斯）、III（大连）、IV（营口）、V（丹东）四个位置设立供应点”。</w:t>
      </w:r>
      <w:r>
        <w:br/>
        <w:t>问题：第五章模型只决定货物流量、海外仓启用及需求分配，没有供应点是否建设的独立选址决策；“设立供应点”将已给定供应点的使用结果误写为建设选址结果。表5.9、表5.10的“供应点选址结果”存在同样概念混淆。（p76，表5.5下方方案描述）</w:t>
      </w:r>
    </w:p>
    <w:p>
      <w:r>
        <w:rPr>
          <w:b/>
        </w:rPr>
        <w:t>10. 原句：“以下表5.6列举了在确定性条件下的运输规划模型成本求解成本结果”。</w:t>
      </w:r>
      <w:r>
        <w:br/>
        <w:t>问题：“成本求解成本结果”重复叠用“成本”，句子成分错接。（p77，页首第一句）</w:t>
      </w:r>
    </w:p>
    <w:p>
      <w:r>
        <w:rPr>
          <w:b/>
        </w:rPr>
        <w:t>11. 原句：“配送运输成本是指货物从海外仓到目标需求点的本地配送费用”。</w:t>
      </w:r>
      <w:r>
        <w:br/>
        <w:t>问题：表5.8存在韩国水原仓向大阪、名古屋等日本城市配送，以及韩国龙仁仓向福冈配送。这些是跨境运输，不能全部定义为“本地配送费用”。（p77，页首成本定义段）</w:t>
      </w:r>
    </w:p>
    <w:p>
      <w:r>
        <w:rPr>
          <w:b/>
        </w:rPr>
        <w:t>12. 原句：“20（水原）”。</w:t>
      </w:r>
      <w:r>
        <w:br/>
        <w:t>问题：城市编号错误。表5.4、表5.5及表5.8均将水原编号为16，20号为清州；表5.7把三处水原均写成20号。（p77，表5.7，大连、营口、丹东对应水原的三行）</w:t>
      </w:r>
    </w:p>
    <w:p>
      <w:r>
        <w:rPr>
          <w:b/>
        </w:rPr>
        <w:t>13. 原句：“水稻5110.34吨”。</w:t>
      </w:r>
      <w:r>
        <w:br/>
        <w:t>问题：水原水稻入库仅5110.34吨，七个需求点出库合计为1000＋1000＋2700＋2300＋4000＋3000＋2800＝16800吨，出库比入库多11689.66吨，违反式（5-9）的收发平衡要求；不是舍入误差。（p77—78，表5.7水原入库量与表5.8水原出库量）</w:t>
      </w:r>
    </w:p>
    <w:p>
      <w:r>
        <w:rPr>
          <w:b/>
        </w:rPr>
        <w:t>14. 原句：“佳木斯供应点仅面向川崎海外仓，输送玉米72000吨，玉米运输量居各供应点之首”。</w:t>
      </w:r>
      <w:r>
        <w:br/>
        <w:t>问题：排名判断错误。表5.7中丹东供应点的玉米总运输量为26433.09＋48700＝75133.09吨，大于佳木斯的72000吨。原句把单条线路运量与供应点总运量混为一谈。（p77，表5.7下方第一段）</w:t>
      </w:r>
    </w:p>
    <w:p>
      <w:r>
        <w:rPr>
          <w:b/>
        </w:rPr>
        <w:t>15. 原句：“可能因地理位置、运输半径或建仓成本等原因，被优化排除”。</w:t>
      </w:r>
      <w:r>
        <w:br/>
        <w:t>问题：对哈尔滨不供货原因的解释与模型不符：第五章未设置供应点建仓成本或运输半径约束，所列建仓成本属于海外仓，不能直接作为哈尔滨供应点被排除的成本项。（p78，第一段）</w:t>
      </w:r>
    </w:p>
    <w:p>
      <w:r>
        <w:rPr>
          <w:b/>
        </w:rPr>
        <w:t>16. 原句：“体现出仓库布局对运输效率与供应链韧性的协同优化作用”。</w:t>
      </w:r>
      <w:r>
        <w:br/>
        <w:t>问题：第五章只报告费用、流量和布局，没有运输时间、失效响应或韧性指标；从这些结果直接断言运输效率与韧性得到协同优化，结论超出了已计算内容。（p79，续表5.8下方分析段）</w:t>
      </w:r>
    </w:p>
    <w:p>
      <w:r>
        <w:rPr>
          <w:b/>
        </w:rPr>
        <w:t>17. 原句：“运输批量大、频次高”。</w:t>
      </w:r>
      <w:r>
        <w:br/>
        <w:t>问题：模型和结果表只给定周期内总运输量，没有发运次数或单批货量，不能由总量推出运输批量和频次。“频次高”尤其缺乏对应计算。（p79，川崎仓分析段）</w:t>
      </w:r>
    </w:p>
    <w:p>
      <w:r>
        <w:rPr>
          <w:b/>
        </w:rPr>
        <w:t>18. 原句：“福冈需求玉米7000吨、大豆3000吨、水稻2000吨”。</w:t>
      </w:r>
      <w:r>
        <w:br/>
        <w:t>问题：福冈水稻量与表5.3、表5.8不一致，两表均为4000吨，正文写为2000吨。（p79，龙仁仓分析段）</w:t>
      </w:r>
    </w:p>
    <w:p>
      <w:r>
        <w:rPr>
          <w:b/>
        </w:rPr>
        <w:t>19. 原句：“向蔚山需求点供应玉米5000吨、大豆2000吨、水稻4000吨”。</w:t>
      </w:r>
      <w:r>
        <w:br/>
        <w:t>问题：蔚山水稻量与表5.3、续表5.8不一致，两表均为2000吨，正文写为4000吨。（p80，第一段，蔚山流量描述）</w:t>
      </w:r>
    </w:p>
    <w:p>
      <w:r>
        <w:rPr>
          <w:b/>
        </w:rPr>
        <w:t>20. 原句：“向大阪需求点供应玉米10000吨、大豆4000吨、水稻5000吨”。</w:t>
      </w:r>
      <w:r>
        <w:br/>
        <w:t>问题：城市名称误写。这组三项货量属于15号大邱，不是2号大阪；大阪在表5.8由水原仓供货，货量为11000、4000、1000吨。（p80，第一段，大阪流量描述）</w:t>
      </w:r>
    </w:p>
    <w:p>
      <w:r>
        <w:rPr>
          <w:b/>
        </w:rPr>
        <w:t>21. 原句：“提升了整体供应链的规模经济效应与物流协同效率”。</w:t>
      </w:r>
      <w:r>
        <w:br/>
        <w:t>问题：模型费用按运输量线性计算，未计算规模经济或协同效率指标，结果中也无相应对照值。“提升”及其具体效果未由本章计算得到。（p80，清州仓分析段末句）</w:t>
      </w:r>
    </w:p>
    <w:p>
      <w:r>
        <w:rPr>
          <w:b/>
        </w:rPr>
        <w:t>22. 原句：“更好的反映海外仓在不同容积利用率状态下的物流网络配置与成本变化”。</w:t>
      </w:r>
      <w:r>
        <w:br/>
        <w:t>问题：“的”用作修饰动词“反映”的状语标记，属于“的／地”误用。（p81，容量敏感性设置段）</w:t>
      </w:r>
    </w:p>
    <w:p>
      <w:r>
        <w:rPr>
          <w:b/>
        </w:rPr>
        <w:t>23. 原句：“海外仓容积利用率”。</w:t>
      </w:r>
      <w:r>
        <w:br/>
        <w:t>问题：该实验预先调节的是仓库可用容积上限比例，而不是求解后实际占用容积与总容积之比。将容量上限参数称为实际“利用率”，再解释为资源实际利用效率提高，混淆了两种量。（p81—82，表5.9及对应分析）</w:t>
      </w:r>
    </w:p>
    <w:p>
      <w:r>
        <w:rPr>
          <w:b/>
        </w:rPr>
        <w:t>24. 原句：“容积利用率过高所带来的边际优化效应有限”。</w:t>
      </w:r>
      <w:r>
        <w:br/>
        <w:t>问题：与表5.9所列区间变化不一致。80%至90%成本下降0.01亿元，90%至100%下降0.11亿元，最高区间的降幅反而明显增加，不能据该组数据作出高利用率区间边际效果减弱的判断。（p83，页首容量敏感性结论）</w:t>
      </w:r>
    </w:p>
    <w:p>
      <w:r>
        <w:rPr>
          <w:b/>
        </w:rPr>
        <w:t>25. 原句：“可以系统检验所构建物流网络模型的稳定性与解的鲁棒性，确保优化结果在多种环境下具备现实可行性”。</w:t>
      </w:r>
      <w:r>
        <w:br/>
        <w:t>问题：对多个确定性需求分别重新选址求解，不等于检验同一个既定方案在多种未知环境下仍可行。原句将情景敏感性分析与解的鲁棒性验证混为一谈，“确保”并非这些实验能够证明的结果。（p83，5.3.2第一段）</w:t>
      </w:r>
    </w:p>
    <w:p>
      <w:r>
        <w:rPr>
          <w:b/>
        </w:rPr>
        <w:t>26. 原句：“海外仓布局由3个扩展至4个，新增了8、16号仓库”。</w:t>
      </w:r>
      <w:r>
        <w:br/>
        <w:t>问题：遗漏撤出节点。表5.10的80%情景为10、19、20号，90%情景为8、16、19、20号；除新增8、16号外，还撤出了10号，不能只用新增两仓说明净增一仓的变化。（p84，第一段）</w:t>
      </w:r>
    </w:p>
    <w:p>
      <w:r>
        <w:rPr>
          <w:b/>
        </w:rPr>
        <w:t>27. 原句：“总成本达1.31亿元”。</w:t>
      </w:r>
      <w:r>
        <w:br/>
        <w:t>问题：与表5.10的90%需求情景不符，表中为1.32亿元。（p84，第一段末句）</w:t>
      </w:r>
    </w:p>
    <w:p>
      <w:r>
        <w:rPr>
          <w:b/>
        </w:rPr>
        <w:t>28. 原句：“相较于基准需求，供应节点适度扩展”。</w:t>
      </w:r>
      <w:r>
        <w:br/>
        <w:t>问题：节点数量并未扩展。基准情景为II、III、IV、V，共4个；110%情景为I、II、III、V，仍为4个，只发生I替换IV。（p84，110%需求情景分析段）</w:t>
      </w:r>
    </w:p>
    <w:p>
      <w:r>
        <w:rPr>
          <w:b/>
        </w:rPr>
        <w:t>29. 原句：“总成本增加至1.74亿元，为全周期最高水平”。</w:t>
      </w:r>
      <w:r>
        <w:br/>
        <w:t>问题：表5.10比较的是五种需求规模情景，不是同一系统的多个时间周期；“全周期”与本章单周期静态模型及实验维度不符。（p84，120%需求情景分析段）</w:t>
      </w:r>
    </w:p>
    <w:p>
      <w:r>
        <w:rPr>
          <w:b/>
        </w:rPr>
        <w:t>30. 原句：“采用东北亚地区的实际具体案例，采用构建总成本最小化的数学优化模型”。</w:t>
      </w:r>
      <w:r>
        <w:br/>
        <w:t>问题：“实际具体”语义叠加；“采用构建”结构混接，“采用”后未形成合法的名词性宾语结构。（p84，5.4第一句）</w:t>
      </w:r>
    </w:p>
    <w:p>
      <w:r>
        <w:rPr>
          <w:b/>
        </w:rPr>
        <w:t>31. 原句：“最后由已经建设的海外运输至国外需求点”。</w:t>
      </w:r>
      <w:r>
        <w:br/>
        <w:t>问题：“海外”后缺少“仓”，致使“由……”结构没有完整的发货主体。（p85，6.1第一段）</w:t>
      </w:r>
    </w:p>
    <w:p>
      <w:r>
        <w:rPr>
          <w:b/>
        </w:rPr>
        <w:t>32. 原句：“它们不能储存超过各自可用容量的商品总额”。</w:t>
      </w:r>
      <w:r>
        <w:br/>
        <w:t>问题：“总额”通常指货币金额，此处容量约束按商品体积计算；将商品金额与仓储容积直接比较，概念和量纲不一致。（p85，假设（1））</w:t>
      </w:r>
    </w:p>
    <w:p>
      <w:r>
        <w:rPr>
          <w:b/>
        </w:rPr>
        <w:t>33. 原句：“仅度量了高于α的成本的平均值，忽略了成本高于α的部分”。</w:t>
      </w:r>
      <w:r>
        <w:br/>
        <w:t>问题：同一句前后矛盾：前半句称度量了高于某阈值的部分，后半句又称忽略该部分。此外α在本章定义为置信水平，不能作为有货币量纲的成本阈值。CVaR尾部成本的解释错误。（p88，式（6-12）后风险度量说明）</w:t>
      </w:r>
    </w:p>
    <w:p>
      <w:r>
        <w:rPr>
          <w:b/>
        </w:rPr>
        <w:t>34. 原句：“我们选择了盒子模糊集和多面体模糊集，因为他们不仅结构清晰”。</w:t>
      </w:r>
      <w:r>
        <w:br/>
        <w:t>问题：“他们”指代的是两类集合，不是人，代词使用错误。（p88—89，6.2.3末句，跨页）</w:t>
      </w:r>
    </w:p>
    <w:p>
      <w:r>
        <w:rPr>
          <w:b/>
        </w:rPr>
        <w:t>35. 原句：“保证概率分布p的非负性”。</w:t>
      </w:r>
      <w:r>
        <w:br/>
        <w:t>问题：该句将概率扰动的和为零与概率非负混作同一种性质。扰动和为零约束的是概率总和保持不变，概率非负由独立的非负条件保证，两者功能不同。（p89，概率集合说明段）</w:t>
      </w:r>
    </w:p>
    <w:p>
      <w:r>
        <w:rPr>
          <w:b/>
        </w:rPr>
        <w:t>36. 原句：“由于SC的理想性质，可以改变sup和min的阶次”。</w:t>
      </w:r>
      <w:r>
        <w:br/>
        <w:t>问题：“理想性质”未被定义，也不是极小极大运算可交换的数学条件。该句作为关键等价步骤的唯一理由，没有构成有效的推导依据。（p89，式（6-18）前）</w:t>
      </w:r>
    </w:p>
    <w:p>
      <w:r>
        <w:rPr>
          <w:b/>
        </w:rPr>
        <w:t>37. 原句：“式（6-18）将加权和的最坏期望拆成两项各自的最坏期望”。</w:t>
      </w:r>
      <w:r>
        <w:br/>
        <w:t>问题：这一步把同一个分布下的联合最大化改成了两个部分分别最大化。一般只能得到不等式；等号需要两个部分存在共同的最坏分布。正文未给出这一条件或针对所用集合的证明，故当前“等价”推导存在缺项。（p89，式（6-18）最后一步）</w:t>
      </w:r>
    </w:p>
    <w:p>
      <w:r>
        <w:rPr>
          <w:b/>
        </w:rPr>
        <w:t>38. 原句：“可以等价地表示为”。</w:t>
      </w:r>
      <w:r>
        <w:br/>
        <w:t>问题：正部函数的辅助量只被施加下界，却未交代由外层最小化将其压至正部函数值。若按展示的最大化问题把辅助量同时视为优化变量，目标可无界增大；若视为固定参数，又不能仅凭下界保证等价。当前独立问题的等价表述不完整。（p89—90，式（6-20）、式（6-24）及其等价性表述）</w:t>
      </w:r>
    </w:p>
    <w:p>
      <w:r>
        <w:rPr>
          <w:b/>
        </w:rPr>
        <w:t>39. 原句：“可以得到盒子模糊集下OWLDRO模型的确定性可解式（6-21）”。</w:t>
      </w:r>
      <w:r>
        <w:br/>
        <w:t>问题：展示的对偶模型未保持原盒子集合下的最坏期望值。例如暂不计固定费、只比较期望费用项，五个场景成本为1、2、3、4、5，名义概率均为0.2，盒子半径为0.01时，原问题最坏期望为3.06，而按所列非负对偶约束和目标计算为3.10。二者数值不等，因此当前对偶形式不能作为原问题的等价式。（p90，式（6-21）及其证明中的式（6-23））</w:t>
      </w:r>
    </w:p>
    <w:p>
      <w:r>
        <w:rPr>
          <w:b/>
        </w:rPr>
        <w:t>40. 原句：“同理，模型（6-20）可以等价表示为”。</w:t>
      </w:r>
      <w:r>
        <w:br/>
        <w:t>问题：式（6-31）遗漏了辅助量不得低于场景成本减阈值的约束，因而与式（6-20）不等价。取阈值及辅助量均为零时，展示的约束即可满足并给出零目标；对于严格正的场景成本，原尾部费用项不可能因此变成零。（p92，式（6-31）及其上方引导句）</w:t>
      </w:r>
    </w:p>
    <w:p>
      <w:r>
        <w:rPr>
          <w:b/>
        </w:rPr>
        <w:t>41. 原句：“本章以东北东北亚跨境贸易为案例”。</w:t>
      </w:r>
      <w:r>
        <w:br/>
        <w:t>问题：“东北东北亚”连续叠写，未形成清晰的地域关系，存在重复或漏词。（p92，6.3.1第一句）</w:t>
      </w:r>
    </w:p>
    <w:p>
      <w:r>
        <w:rPr>
          <w:b/>
        </w:rPr>
        <w:t>42. 原句：“首尔、釜山、仁川、蔚山、大阪、水原、大田、光州、龙仁、清州”。</w:t>
      </w:r>
      <w:r>
        <w:br/>
        <w:t>问题：“大阪”在前面的日本城市列表中已出现；按表5.4及统一编号，第15个城市应对应大邱。此处将大邱误写为大阪，造成重复大阪、遗漏大邱。（p92，海外仓候选点城市列表）</w:t>
      </w:r>
    </w:p>
    <w:p>
      <w:r>
        <w:rPr>
          <w:b/>
        </w:rPr>
        <w:t>43. 原句：“密度1.39立方米/吨、1.27立方米/吨、1.74立方米/吨”。</w:t>
      </w:r>
      <w:r>
        <w:br/>
        <w:t>问题：“立方米／吨”是单位质量占用体积，即比容，不是密度；密度的量纲是质量／体积。概念名称与给定单位相反。（p93，第一段，体积参数说明）</w:t>
      </w:r>
    </w:p>
    <w:p>
      <w:r>
        <w:rPr>
          <w:b/>
        </w:rPr>
        <w:t>44. 原句：“每个场景发生概率的可能为1/|S|”。</w:t>
      </w:r>
      <w:r>
        <w:br/>
        <w:t>问题：“概率的可能”重复套叠两个可能性概念，概率赋值关系表达不成立。（p93，场景概率说明）</w:t>
      </w:r>
    </w:p>
    <w:p>
      <w:r>
        <w:rPr>
          <w:b/>
        </w:rPr>
        <w:t>45. 原句：“表6.2展示了模型在盒子和多面体两种模糊集下的选址决策、最优目标值以及储备量结果”。</w:t>
      </w:r>
      <w:r>
        <w:br/>
        <w:t>问题：表6.2只有模糊集、海外仓选址结果和最优目标值三列，没有储备量；正文声称展示的内容在表中遗漏。（p93，6.3.2第一段）</w:t>
      </w:r>
    </w:p>
    <w:p>
      <w:r>
        <w:rPr>
          <w:b/>
        </w:rPr>
        <w:t>46. 原句：“表4.2显示”。</w:t>
      </w:r>
      <w:r>
        <w:br/>
        <w:t>问题：表号引用错误。此处分析的是本页表6.2，不是表4.2。（p93，6.3.2第一段）</w:t>
      </w:r>
    </w:p>
    <w:p>
      <w:r>
        <w:rPr>
          <w:b/>
        </w:rPr>
        <w:t>47. 原句：“但多面体模糊集下的最优目标值显著高于盒子模糊集”。</w:t>
      </w:r>
      <w:r>
        <w:br/>
        <w:t>问题：两值为3.2742与3.2736亿元，相差0.0006亿元，即6万元，相对差约0.0183%。文中没有显著性检验或误差范围，不能把这个数值差异直接称为“显著”。（p93，表6.2结果说明）</w:t>
      </w:r>
    </w:p>
    <w:p>
      <w:r>
        <w:rPr>
          <w:b/>
        </w:rPr>
        <w:t>48. 原句：“可调整参数μ＝0.01、0.02、0.03、0.04、0.05”。</w:t>
      </w:r>
      <w:r>
        <w:br/>
        <w:t>问题：图6.2、图6.3实际还使用0.06、0.07、0.08、0.09，超出了已声明的参数范围；对应扩展设置在正文中遗漏，实验文字与图示范围不一致。（p93—96，参数设置与图6.2、图6.3）</w:t>
      </w:r>
    </w:p>
    <w:p>
      <w:r>
        <w:rPr>
          <w:b/>
        </w:rPr>
        <w:t>49. 原句：“对应的风险水平就越高，导致风险规避策略越多”。</w:t>
      </w:r>
      <w:r>
        <w:br/>
        <w:t>问题：置信水平、风险权重和模糊半径改变的是风险评价尺度或所考虑的不确定性范围，不能据此推出客观风险水平必然升高。“风险规避策略越多”也没有明确的可数对象，且表6.3、表6.4只报告目标值，未报告策略数量。（p94，表6.3上方总结段）</w:t>
      </w:r>
    </w:p>
    <w:p>
      <w:r>
        <w:rPr>
          <w:b/>
        </w:rPr>
        <w:t>50. 原句：“风险偏好”。</w:t>
      </w:r>
      <w:r>
        <w:br/>
        <w:t>问题：较低的非负均值—CVaR权重仍属于较弱的风险规避，不能直接定义为风险寻求。两组实验还同时改变置信水平、风险权重与模糊半径，不能把全部结果差异单独归因于风险偏好。（p94—95，表6.5及对应比较段）</w:t>
      </w:r>
    </w:p>
    <w:p>
      <w:r>
        <w:rPr>
          <w:b/>
        </w:rPr>
        <w:t>51. 原句：“但需要以增加运营成本为代价”。</w:t>
      </w:r>
      <w:r>
        <w:br/>
        <w:t>问题：比较的是不同风险参数下的均值—CVaR加权目标值，目标函数本身已改变；3.0107至3.5921亿元的增幅不能直接等同于同一评价口径下实际运营成本增加19.3%。（p95，第一段）</w:t>
      </w:r>
    </w:p>
    <w:p>
      <w:r>
        <w:rPr>
          <w:b/>
        </w:rPr>
        <w:t>52. 原句：“模糊集的范围越大，纳入和考虑的概率信息越多”。</w:t>
      </w:r>
      <w:r>
        <w:br/>
        <w:t>问题：概率集合变大表示允许更多可能分布、约束更宽，一般对应分布信息更少或不确定性更大，并非掌握的概率信息更多。信息量与不确定性集合大小的解释方向混淆。（p95，6.3.3第一段）</w:t>
      </w:r>
    </w:p>
    <w:p>
      <w:r>
        <w:rPr>
          <w:b/>
        </w:rPr>
        <w:t>53. 原句：“模糊集越逼近真实分布，DRO模型亦随之退化为经典SP模型”。</w:t>
      </w:r>
      <w:r>
        <w:br/>
        <w:t>问题：模糊半径减小使集合收缩至名义分布，并不保证该名义分布就是真实分布。正文将名义分布与真实分布等同，缺少成立前提。（p95，6.3.3第二段）</w:t>
      </w:r>
    </w:p>
    <w:p>
      <w:r>
        <w:rPr>
          <w:b/>
        </w:rPr>
        <w:t>54. 原句：“以极低的成本获得了双重优势，既规避了概率模糊性，又比传统随机规划模型更鲁棒地利用了分布”。</w:t>
      </w:r>
      <w:r>
        <w:br/>
        <w:t>问题：该节只报告目标值相对差额，没有同一测试分布下的可行率、尾部损失或样本外结果，不能由成本差额推出已经规避概率模糊性或获得更强鲁棒性。（p95，6.3.3结论段）</w:t>
      </w:r>
    </w:p>
    <w:p>
      <w:r>
        <w:rPr>
          <w:b/>
        </w:rPr>
        <w:t>55. 原句：“具体来说，海外仓的海外仓选址数量则仅在容积从90%增加到100%时保持不变”。</w:t>
      </w:r>
      <w:r>
        <w:br/>
        <w:t>问题：“海外仓的海外仓”重复。（p96，6.3.4末段）</w:t>
      </w:r>
    </w:p>
    <w:p>
      <w:r>
        <w:rPr>
          <w:b/>
        </w:rPr>
        <w:t>56. 原句：“从29.98%增至29.15%”。</w:t>
      </w:r>
      <w:r>
        <w:br/>
        <w:t>问题：29.98%到29.15%是下降，与“微幅上升”自相矛盾；且图6.4中90%情景的标值为28.98%，不是29.98%。（p97，图6.4下方第一段）</w:t>
      </w:r>
    </w:p>
    <w:p>
      <w:r>
        <w:rPr>
          <w:b/>
        </w:rPr>
        <w:t>57. 原句：“5号海外仓被替换为9号海外仓，海外仓建设成本增加”。</w:t>
      </w:r>
      <w:r>
        <w:br/>
        <w:t>问题：建设费用变化方向与前文数据相反。表5.4的5号札幌为19601523元，9号京都为15779924元，替换应减少3821599元；第六章未列出可支持反向结论的新建设费用数据。（p97，图6.4下方第一段）</w:t>
      </w:r>
    </w:p>
    <w:p>
      <w:r>
        <w:rPr>
          <w:b/>
        </w:rPr>
        <w:t>58. 原句：“海外仓建设成本增加，但总成本因海外仓可用容积的提升而降低”。</w:t>
      </w:r>
      <w:r>
        <w:br/>
        <w:t>问题：即使不沿用表5.4，仅按本页给出的目标值和占比核算，90%情景约为3.0994×28.98%＝0.898206亿元，100%情景约为3.0192×29.15%＝0.880097亿元，建设费亦是减少。“建设成本增加”的解释与本页自己的数值不符。（p97，同段，结合表6.6与图6.4）</w:t>
      </w:r>
    </w:p>
    <w:p>
      <w:r>
        <w:rPr>
          <w:b/>
        </w:rPr>
        <w:t>59. 原句：“28.98%；29.15%”。</w:t>
      </w:r>
      <w:r>
        <w:br/>
        <w:t>问题：图中两点与表6.6选址及表5.4建设费用不能相互核对。90%情景六仓建设费合计107679691元，除以3.0994亿元，约为34.74%；100%情景六仓合计103858092元，除以3.0192亿元，约为34.40%。图中的28.98%和29.15%均不符。相同口径可复现60%、70%、80%三个图示值，故后两点及其“回升”解释存在具体数据错误。（p97，图6.4，90%和100%两个数据点）</w:t>
      </w:r>
    </w:p>
    <w:sectPr w:rsidR="00FC693F" w:rsidRPr="0006063C" w:rsidSect="00034616">
      <w:footerReference w:type="default" r:id="rId9"/>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