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4A702">
      <w:pPr>
        <w:spacing w:before="480" w:after="480" w:line="288" w:lineRule="auto"/>
        <w:ind w:left="0"/>
        <w:jc w:val="left"/>
      </w:pPr>
      <w:r>
        <w:rPr>
          <w:rFonts w:ascii="Arial" w:hAnsi="Arial" w:eastAsia="等线" w:cs="Arial"/>
          <w:b/>
          <w:sz w:val="52"/>
        </w:rPr>
        <w:t>基于机器学习的技术岗位薪酬预测与薪资区间识别项目 - 个人案例总结</w:t>
      </w:r>
    </w:p>
    <w:p w14:paraId="2731B92F">
      <w:pPr>
        <w:spacing w:before="380" w:after="140" w:line="288" w:lineRule="auto"/>
        <w:ind w:left="0"/>
        <w:jc w:val="left"/>
        <w:outlineLvl w:val="0"/>
      </w:pPr>
      <w:bookmarkStart w:id="0" w:name="heading_0"/>
      <w:r>
        <w:rPr>
          <w:rFonts w:ascii="Arial" w:hAnsi="Arial" w:eastAsia="等线" w:cs="Arial"/>
          <w:b/>
          <w:sz w:val="36"/>
        </w:rPr>
        <w:t>一、项目概述</w:t>
      </w:r>
      <w:bookmarkEnd w:id="0"/>
    </w:p>
    <w:p w14:paraId="0D82238C">
      <w:pPr>
        <w:spacing w:before="120" w:after="120" w:line="288" w:lineRule="auto"/>
        <w:ind w:left="0"/>
        <w:jc w:val="left"/>
      </w:pPr>
      <w:r>
        <w:rPr>
          <w:rFonts w:ascii="Arial" w:hAnsi="Arial" w:eastAsia="等线" w:cs="Arial"/>
          <w:sz w:val="22"/>
        </w:rPr>
        <w:t>本次项目是一个基于机器学习的技术岗位薪酬预测与薪资区间识别的数据分析实践项目。我们使用包含25万条记录的数据集，涵盖岗位名称、工作经验、学历、技能数量、行业类型、公司规模、工作地区等多个维度的信息，通过数据挖掘完整工作流程，实现了技术岗位薪酬的精准预测与薪资区间的智能分类。</w:t>
      </w:r>
    </w:p>
    <w:p w14:paraId="75063561">
      <w:pPr>
        <w:spacing w:before="380" w:after="140" w:line="288" w:lineRule="auto"/>
        <w:ind w:left="0"/>
        <w:jc w:val="left"/>
        <w:outlineLvl w:val="0"/>
      </w:pPr>
      <w:bookmarkStart w:id="1" w:name="heading_1"/>
      <w:r>
        <w:rPr>
          <w:rFonts w:ascii="Arial" w:hAnsi="Arial" w:eastAsia="等线" w:cs="Arial"/>
          <w:b/>
          <w:sz w:val="36"/>
        </w:rPr>
        <w:t>二、个人角色与职责</w:t>
      </w:r>
      <w:bookmarkEnd w:id="1"/>
    </w:p>
    <w:p w14:paraId="6FF14F20">
      <w:pPr>
        <w:spacing w:before="120" w:after="120" w:line="288" w:lineRule="auto"/>
        <w:ind w:left="0"/>
        <w:jc w:val="left"/>
      </w:pPr>
      <w:r>
        <w:rPr>
          <w:rFonts w:ascii="Arial" w:hAnsi="Arial" w:eastAsia="等线" w:cs="Arial"/>
          <w:sz w:val="22"/>
        </w:rPr>
        <w:t>在本次小组项目中，我主要承担以下三项核心工作：</w:t>
      </w:r>
    </w:p>
    <w:p w14:paraId="4E381725">
      <w:pPr>
        <w:spacing w:before="320" w:after="120" w:line="288" w:lineRule="auto"/>
        <w:ind w:left="0"/>
        <w:jc w:val="left"/>
        <w:outlineLvl w:val="1"/>
      </w:pPr>
      <w:bookmarkStart w:id="2" w:name="heading_2"/>
      <w:r>
        <w:rPr>
          <w:rFonts w:ascii="Arial" w:hAnsi="Arial" w:eastAsia="等线" w:cs="Arial"/>
          <w:b/>
          <w:sz w:val="32"/>
        </w:rPr>
        <w:t>（一）</w:t>
      </w:r>
      <w:bookmarkEnd w:id="2"/>
    </w:p>
    <w:p w14:paraId="52CA0962">
      <w:pPr>
        <w:spacing w:before="120" w:after="120" w:line="288" w:lineRule="auto"/>
        <w:ind w:left="0"/>
        <w:jc w:val="left"/>
      </w:pPr>
      <w:r>
        <w:rPr>
          <w:rFonts w:ascii="Arial" w:hAnsi="Arial" w:eastAsia="等线" w:cs="Arial"/>
          <w:sz w:val="22"/>
        </w:rPr>
        <w:t>负责项目全程的数据可视化工作，累计设计并制作分析图表，包括：</w:t>
      </w:r>
    </w:p>
    <w:p w14:paraId="7ED3A211">
      <w:pPr>
        <w:numPr>
          <w:ilvl w:val="0"/>
          <w:numId w:val="1"/>
        </w:numPr>
        <w:spacing w:before="120" w:after="120" w:line="288" w:lineRule="auto"/>
        <w:ind w:left="0"/>
        <w:jc w:val="left"/>
      </w:pPr>
      <w:r>
        <w:rPr>
          <w:rFonts w:ascii="Arial" w:hAnsi="Arial" w:eastAsia="等线" w:cs="Arial"/>
          <w:sz w:val="22"/>
        </w:rPr>
        <w:t>薪资分布直方图与箱线图——展示整体薪酬分布特征</w:t>
      </w:r>
    </w:p>
    <w:p w14:paraId="4F5B4F9C">
      <w:pPr>
        <w:numPr>
          <w:ilvl w:val="0"/>
          <w:numId w:val="2"/>
        </w:numPr>
        <w:spacing w:before="120" w:after="120" w:line="288" w:lineRule="auto"/>
        <w:ind w:left="0"/>
        <w:jc w:val="left"/>
      </w:pPr>
      <w:r>
        <w:rPr>
          <w:rFonts w:ascii="Arial" w:hAnsi="Arial" w:eastAsia="等线" w:cs="Arial"/>
          <w:sz w:val="22"/>
        </w:rPr>
        <w:t>不同岗位/学历平均薪资对比柱状图——直观呈现各维度差异</w:t>
      </w:r>
    </w:p>
    <w:p w14:paraId="67AE3913">
      <w:pPr>
        <w:numPr>
          <w:ilvl w:val="0"/>
          <w:numId w:val="3"/>
        </w:numPr>
        <w:spacing w:before="120" w:after="120" w:line="288" w:lineRule="auto"/>
        <w:ind w:left="0"/>
        <w:jc w:val="left"/>
      </w:pPr>
      <w:r>
        <w:rPr>
          <w:rFonts w:ascii="Arial" w:hAnsi="Arial" w:eastAsia="等线" w:cs="Arial"/>
          <w:sz w:val="22"/>
        </w:rPr>
        <w:t>工作经验/技能数量与薪资关系散点图——揭示变量间关联趋势</w:t>
      </w:r>
    </w:p>
    <w:p w14:paraId="36651A41">
      <w:pPr>
        <w:numPr>
          <w:ilvl w:val="0"/>
          <w:numId w:val="4"/>
        </w:numPr>
        <w:spacing w:before="120" w:after="120" w:line="288" w:lineRule="auto"/>
        <w:ind w:left="0"/>
        <w:jc w:val="left"/>
      </w:pPr>
      <w:r>
        <w:rPr>
          <w:rFonts w:ascii="Arial" w:hAnsi="Arial" w:eastAsia="等线" w:cs="Arial"/>
          <w:sz w:val="22"/>
        </w:rPr>
        <w:t>数值变量相关性热力图——量化特征间的相关程度</w:t>
      </w:r>
    </w:p>
    <w:p w14:paraId="52689118">
      <w:pPr>
        <w:numPr>
          <w:ilvl w:val="0"/>
          <w:numId w:val="5"/>
        </w:numPr>
        <w:spacing w:before="120" w:after="120" w:line="288" w:lineRule="auto"/>
        <w:ind w:left="0"/>
        <w:jc w:val="left"/>
      </w:pPr>
      <w:r>
        <w:rPr>
          <w:rFonts w:ascii="Arial" w:hAnsi="Arial" w:eastAsia="等线" w:cs="Arial"/>
          <w:sz w:val="22"/>
        </w:rPr>
        <w:t>回归/分类模型性能对比图——多维度评估模型表现</w:t>
      </w:r>
    </w:p>
    <w:p w14:paraId="49636CF5">
      <w:pPr>
        <w:numPr>
          <w:ilvl w:val="0"/>
          <w:numId w:val="6"/>
        </w:numPr>
        <w:spacing w:before="120" w:after="120" w:line="288" w:lineRule="auto"/>
        <w:ind w:left="0"/>
        <w:jc w:val="left"/>
      </w:pPr>
      <w:r>
        <w:rPr>
          <w:rFonts w:ascii="Arial" w:hAnsi="Arial" w:eastAsia="等线" w:cs="Arial"/>
          <w:sz w:val="22"/>
        </w:rPr>
        <w:t>特征重要性排序图——识别影响薪资的关键因素</w:t>
      </w:r>
    </w:p>
    <w:p w14:paraId="11131F80">
      <w:pPr>
        <w:spacing w:before="320" w:after="120" w:line="288" w:lineRule="auto"/>
        <w:ind w:left="0"/>
        <w:jc w:val="left"/>
        <w:outlineLvl w:val="1"/>
      </w:pPr>
      <w:bookmarkStart w:id="3" w:name="heading_3"/>
      <w:r>
        <w:rPr>
          <w:rFonts w:ascii="Arial" w:hAnsi="Arial" w:eastAsia="等线" w:cs="Arial"/>
          <w:b/>
          <w:sz w:val="32"/>
        </w:rPr>
        <w:t>（二）</w:t>
      </w:r>
      <w:bookmarkEnd w:id="3"/>
    </w:p>
    <w:p w14:paraId="33F08939">
      <w:pPr>
        <w:spacing w:before="120" w:after="120" w:line="288" w:lineRule="auto"/>
        <w:ind w:left="0"/>
        <w:jc w:val="left"/>
      </w:pPr>
      <w:r>
        <w:rPr>
          <w:rFonts w:ascii="Arial" w:hAnsi="Arial" w:eastAsia="等线" w:cs="Arial"/>
          <w:sz w:val="22"/>
        </w:rPr>
        <w:t>负责构建完整的项目执行流程与方法论框架：</w:t>
      </w:r>
    </w:p>
    <w:p w14:paraId="34A83A0E">
      <w:pPr>
        <w:numPr>
          <w:ilvl w:val="0"/>
          <w:numId w:val="7"/>
        </w:numPr>
        <w:spacing w:before="120" w:after="120" w:line="288" w:lineRule="auto"/>
        <w:ind w:left="0"/>
        <w:jc w:val="left"/>
      </w:pPr>
      <w:r>
        <w:rPr>
          <w:rFonts w:ascii="Arial" w:hAnsi="Arial" w:eastAsia="等线" w:cs="Arial"/>
          <w:sz w:val="22"/>
        </w:rPr>
        <w:t>设计"问题定义→数据准备→探索分析→建模训练→评估比较→应用展望"的六阶段标准化工作流</w:t>
      </w:r>
    </w:p>
    <w:p w14:paraId="622AF896">
      <w:pPr>
        <w:numPr>
          <w:ilvl w:val="0"/>
          <w:numId w:val="8"/>
        </w:numPr>
        <w:spacing w:before="120" w:after="120" w:line="288" w:lineRule="auto"/>
        <w:ind w:left="0"/>
        <w:jc w:val="left"/>
      </w:pPr>
      <w:r>
        <w:rPr>
          <w:rFonts w:ascii="Arial" w:hAnsi="Arial" w:eastAsia="等线" w:cs="Arial"/>
          <w:sz w:val="22"/>
        </w:rPr>
        <w:t>制定各阶段的质量标准与交付物要求，确保项目有序推进</w:t>
      </w:r>
    </w:p>
    <w:p w14:paraId="01168760">
      <w:pPr>
        <w:numPr>
          <w:ilvl w:val="0"/>
          <w:numId w:val="9"/>
        </w:numPr>
        <w:spacing w:before="120" w:after="120" w:line="288" w:lineRule="auto"/>
        <w:ind w:left="0"/>
        <w:jc w:val="left"/>
      </w:pPr>
      <w:r>
        <w:rPr>
          <w:rFonts w:ascii="Arial" w:hAnsi="Arial" w:eastAsia="等线" w:cs="Arial"/>
          <w:sz w:val="22"/>
        </w:rPr>
        <w:t>协调数据预处理、特征工程、模型训练等各环节的衔接</w:t>
      </w:r>
    </w:p>
    <w:p w14:paraId="52E14A92">
      <w:pPr>
        <w:numPr>
          <w:ilvl w:val="0"/>
          <w:numId w:val="10"/>
        </w:numPr>
        <w:spacing w:before="120" w:after="120" w:line="288" w:lineRule="auto"/>
        <w:ind w:left="0"/>
        <w:jc w:val="left"/>
      </w:pPr>
      <w:r>
        <w:rPr>
          <w:rFonts w:ascii="Arial" w:hAnsi="Arial" w:eastAsia="等线" w:cs="Arial"/>
          <w:sz w:val="22"/>
        </w:rPr>
        <w:t>建立回归与分类双任务并行的项目架构</w:t>
      </w:r>
    </w:p>
    <w:p w14:paraId="092FE577">
      <w:pPr>
        <w:spacing w:before="320" w:after="120" w:line="288" w:lineRule="auto"/>
        <w:ind w:left="0"/>
        <w:jc w:val="left"/>
        <w:outlineLvl w:val="1"/>
      </w:pPr>
      <w:bookmarkStart w:id="4" w:name="heading_4"/>
      <w:r>
        <w:rPr>
          <w:rFonts w:ascii="Arial" w:hAnsi="Arial" w:eastAsia="等线" w:cs="Arial"/>
          <w:b/>
          <w:sz w:val="32"/>
        </w:rPr>
        <w:t>（三）</w:t>
      </w:r>
      <w:bookmarkEnd w:id="4"/>
    </w:p>
    <w:p w14:paraId="2F613C1C">
      <w:pPr>
        <w:spacing w:before="120" w:after="120" w:line="288" w:lineRule="auto"/>
        <w:ind w:left="0"/>
        <w:jc w:val="left"/>
      </w:pPr>
      <w:r>
        <w:rPr>
          <w:rFonts w:ascii="Arial" w:hAnsi="Arial" w:eastAsia="等线" w:cs="Arial"/>
          <w:sz w:val="22"/>
        </w:rPr>
        <w:t>负责项目成果的整体汇报与展示工作：</w:t>
      </w:r>
    </w:p>
    <w:p w14:paraId="73AD463A">
      <w:pPr>
        <w:numPr>
          <w:ilvl w:val="0"/>
          <w:numId w:val="11"/>
        </w:numPr>
        <w:spacing w:before="120" w:after="120" w:line="288" w:lineRule="auto"/>
        <w:ind w:left="0"/>
        <w:jc w:val="left"/>
      </w:pPr>
      <w:r>
        <w:rPr>
          <w:rFonts w:ascii="Arial" w:hAnsi="Arial" w:eastAsia="等线" w:cs="Arial"/>
          <w:sz w:val="22"/>
        </w:rPr>
        <w:t>撰写项目案例总结报告，梳理项目全貌</w:t>
      </w:r>
    </w:p>
    <w:p w14:paraId="63D5903A">
      <w:pPr>
        <w:numPr>
          <w:ilvl w:val="0"/>
          <w:numId w:val="12"/>
        </w:numPr>
        <w:spacing w:before="120" w:after="120" w:line="288" w:lineRule="auto"/>
        <w:ind w:left="0"/>
        <w:jc w:val="left"/>
      </w:pPr>
      <w:r>
        <w:rPr>
          <w:rFonts w:ascii="Arial" w:hAnsi="Arial" w:eastAsia="等线" w:cs="Arial"/>
          <w:sz w:val="22"/>
        </w:rPr>
        <w:t>组织汇报逻辑，将技术分析转化为易懂的业务洞察</w:t>
      </w:r>
    </w:p>
    <w:p w14:paraId="7DC24CBA">
      <w:pPr>
        <w:numPr>
          <w:ilvl w:val="0"/>
          <w:numId w:val="13"/>
        </w:numPr>
        <w:spacing w:before="120" w:after="120" w:line="288" w:lineRule="auto"/>
        <w:ind w:left="0"/>
        <w:jc w:val="left"/>
      </w:pPr>
      <w:r>
        <w:rPr>
          <w:rFonts w:ascii="Arial" w:hAnsi="Arial" w:eastAsia="等线" w:cs="Arial"/>
          <w:sz w:val="22"/>
        </w:rPr>
        <w:t>提炼核心结论与应用价值，突出项目的实际意义</w:t>
      </w:r>
    </w:p>
    <w:p w14:paraId="30B5C4C8">
      <w:pPr>
        <w:numPr>
          <w:ilvl w:val="0"/>
          <w:numId w:val="14"/>
        </w:numPr>
        <w:spacing w:before="120" w:after="120" w:line="288" w:lineRule="auto"/>
        <w:ind w:left="0"/>
        <w:jc w:val="left"/>
      </w:pPr>
      <w:r>
        <w:rPr>
          <w:rFonts w:ascii="Arial" w:hAnsi="Arial" w:eastAsia="等线" w:cs="Arial"/>
          <w:sz w:val="22"/>
        </w:rPr>
        <w:t>准备演示材料，确保专业、清晰、有条理地呈现项目成果</w:t>
      </w:r>
    </w:p>
    <w:p w14:paraId="61A19CA0">
      <w:pPr>
        <w:spacing w:before="380" w:after="140" w:line="288" w:lineRule="auto"/>
        <w:ind w:left="0"/>
        <w:jc w:val="left"/>
        <w:outlineLvl w:val="0"/>
      </w:pPr>
      <w:bookmarkStart w:id="5" w:name="heading_5"/>
      <w:r>
        <w:rPr>
          <w:rFonts w:ascii="Arial" w:hAnsi="Arial" w:eastAsia="等线" w:cs="Arial"/>
          <w:b/>
          <w:sz w:val="36"/>
        </w:rPr>
        <w:t>三、主要工作成果</w:t>
      </w:r>
      <w:bookmarkEnd w:id="5"/>
    </w:p>
    <w:p w14:paraId="6AFBEA3D">
      <w:pPr>
        <w:spacing w:before="320" w:after="120" w:line="288" w:lineRule="auto"/>
        <w:ind w:left="0"/>
        <w:jc w:val="left"/>
        <w:outlineLvl w:val="1"/>
      </w:pPr>
      <w:bookmarkStart w:id="6" w:name="heading_6"/>
      <w:r>
        <w:rPr>
          <w:rFonts w:ascii="Arial" w:hAnsi="Arial" w:eastAsia="等线" w:cs="Arial"/>
          <w:b/>
          <w:sz w:val="32"/>
        </w:rPr>
        <w:t>（一）数据可视化成果</w:t>
      </w:r>
      <w:bookmarkEnd w:id="6"/>
    </w:p>
    <w:p w14:paraId="431B57DA">
      <w:pPr>
        <w:spacing w:before="120" w:after="120" w:line="288" w:lineRule="auto"/>
        <w:ind w:left="0"/>
        <w:jc w:val="left"/>
      </w:pPr>
      <w:r>
        <w:rPr>
          <w:rFonts w:ascii="Arial" w:hAnsi="Arial" w:eastAsia="等线" w:cs="Arial"/>
          <w:sz w:val="22"/>
        </w:rPr>
        <w:t>通过系统化的图表设计，实现了数据价值的直观呈现：</w:t>
      </w:r>
    </w:p>
    <w:p w14:paraId="0054786C">
      <w:pPr>
        <w:numPr>
          <w:ilvl w:val="0"/>
          <w:numId w:val="15"/>
        </w:numPr>
        <w:spacing w:before="120" w:after="120" w:line="288" w:lineRule="auto"/>
        <w:ind w:left="0"/>
        <w:jc w:val="left"/>
      </w:pPr>
      <w:r>
        <w:rPr>
          <w:rFonts w:ascii="Arial" w:hAnsi="Arial" w:eastAsia="等线" w:cs="Arial"/>
          <w:b/>
          <w:sz w:val="22"/>
        </w:rPr>
        <w:t>探索性分析图表</w:t>
      </w:r>
      <w:r>
        <w:rPr>
          <w:rFonts w:ascii="Arial" w:hAnsi="Arial" w:eastAsia="等线" w:cs="Arial"/>
          <w:sz w:val="22"/>
        </w:rPr>
        <w:t>：通过直方图、箱线图、柱状图、散点图、热力图等多种可视化手段，全面揭示了技术岗位薪资的分布规律与影响因素，为后续建模提供了清晰的数据洞察</w:t>
      </w:r>
    </w:p>
    <w:p w14:paraId="09244951">
      <w:pPr>
        <w:numPr>
          <w:ilvl w:val="0"/>
          <w:numId w:val="16"/>
        </w:numPr>
        <w:spacing w:before="120" w:after="120" w:line="288" w:lineRule="auto"/>
        <w:ind w:left="0"/>
        <w:jc w:val="left"/>
      </w:pPr>
      <w:r>
        <w:rPr>
          <w:rFonts w:ascii="Arial" w:hAnsi="Arial" w:eastAsia="等线" w:cs="Arial"/>
          <w:b/>
          <w:sz w:val="22"/>
        </w:rPr>
        <w:t>模型评估图表</w:t>
      </w:r>
      <w:r>
        <w:rPr>
          <w:rFonts w:ascii="Arial" w:hAnsi="Arial" w:eastAsia="等线" w:cs="Arial"/>
          <w:sz w:val="22"/>
        </w:rPr>
        <w:t>：设计了多维度的模型性能对比可视化方案，通过MAE、RMSE、R²、准确率、精确率、召回率、F1分数等指标的直观对比，清晰展示了8种回归模型和5种分类模型的性能差异</w:t>
      </w:r>
    </w:p>
    <w:p w14:paraId="393629BD">
      <w:pPr>
        <w:numPr>
          <w:ilvl w:val="0"/>
          <w:numId w:val="17"/>
        </w:numPr>
        <w:spacing w:before="120" w:after="120" w:line="288" w:lineRule="auto"/>
        <w:ind w:left="0"/>
        <w:jc w:val="left"/>
      </w:pPr>
      <w:r>
        <w:rPr>
          <w:rFonts w:ascii="Arial" w:hAnsi="Arial" w:eastAsia="等线" w:cs="Arial"/>
          <w:b/>
          <w:sz w:val="22"/>
        </w:rPr>
        <w:t>特征重要性可视化</w:t>
      </w:r>
      <w:r>
        <w:rPr>
          <w:rFonts w:ascii="Arial" w:hAnsi="Arial" w:eastAsia="等线" w:cs="Arial"/>
          <w:sz w:val="22"/>
        </w:rPr>
        <w:t>：将XGBoost和随机森林模型的特征重要性结果转化为直观的排序图表，清晰呈现了工作地区、公司规模、工作经验、学历等核心因素对薪资的影响权重</w:t>
      </w:r>
    </w:p>
    <w:p w14:paraId="6749DD6C">
      <w:pPr>
        <w:spacing w:before="320" w:after="120" w:line="288" w:lineRule="auto"/>
        <w:ind w:left="0"/>
        <w:jc w:val="left"/>
        <w:outlineLvl w:val="1"/>
      </w:pPr>
      <w:bookmarkStart w:id="7" w:name="heading_7"/>
      <w:r>
        <w:rPr>
          <w:rFonts w:ascii="Arial" w:hAnsi="Arial" w:eastAsia="等线" w:cs="Arial"/>
          <w:b/>
          <w:sz w:val="32"/>
        </w:rPr>
        <w:t>（二）项目流程建设成果</w:t>
      </w:r>
      <w:bookmarkEnd w:id="7"/>
    </w:p>
    <w:p w14:paraId="1F6F9189">
      <w:pPr>
        <w:spacing w:before="120" w:after="120" w:line="288" w:lineRule="auto"/>
        <w:ind w:left="0"/>
        <w:jc w:val="left"/>
      </w:pPr>
      <w:r>
        <w:rPr>
          <w:rFonts w:ascii="Arial" w:hAnsi="Arial" w:eastAsia="等线" w:cs="Arial"/>
          <w:sz w:val="22"/>
        </w:rPr>
        <w:t>构建了标准化、可复用的数据挖掘项目流程：</w:t>
      </w:r>
    </w:p>
    <w:p w14:paraId="2AFE649E">
      <w:pPr>
        <w:numPr>
          <w:ilvl w:val="0"/>
          <w:numId w:val="18"/>
        </w:numPr>
        <w:spacing w:before="120" w:after="120" w:line="288" w:lineRule="auto"/>
        <w:ind w:left="0"/>
        <w:jc w:val="left"/>
      </w:pPr>
      <w:r>
        <w:rPr>
          <w:rFonts w:ascii="Arial" w:hAnsi="Arial" w:eastAsia="等线" w:cs="Arial"/>
          <w:b/>
          <w:sz w:val="22"/>
        </w:rPr>
        <w:t>方法论框架</w:t>
      </w:r>
      <w:r>
        <w:rPr>
          <w:rFonts w:ascii="Arial" w:hAnsi="Arial" w:eastAsia="等线" w:cs="Arial"/>
          <w:sz w:val="22"/>
        </w:rPr>
        <w:t>：建立了从问题定义到应用落地的完整方法论，确保每个环节都有明确的目标和验收标准</w:t>
      </w:r>
    </w:p>
    <w:p w14:paraId="4842938A">
      <w:pPr>
        <w:numPr>
          <w:ilvl w:val="0"/>
          <w:numId w:val="19"/>
        </w:numPr>
        <w:spacing w:before="120" w:after="120" w:line="288" w:lineRule="auto"/>
        <w:ind w:left="0"/>
        <w:jc w:val="left"/>
      </w:pPr>
      <w:r>
        <w:rPr>
          <w:rFonts w:ascii="Arial" w:hAnsi="Arial" w:eastAsia="等线" w:cs="Arial"/>
          <w:b/>
          <w:sz w:val="22"/>
        </w:rPr>
        <w:t>双任务架构</w:t>
      </w:r>
      <w:r>
        <w:rPr>
          <w:rFonts w:ascii="Arial" w:hAnsi="Arial" w:eastAsia="等线" w:cs="Arial"/>
          <w:sz w:val="22"/>
        </w:rPr>
        <w:t>：创新性地设计了回归预测与区间分类并行的双任务架构，既满足精确数值预测需求，又支持层级化的薪资区间判断</w:t>
      </w:r>
    </w:p>
    <w:p w14:paraId="560B65DE">
      <w:pPr>
        <w:numPr>
          <w:ilvl w:val="0"/>
          <w:numId w:val="20"/>
        </w:numPr>
        <w:spacing w:before="120" w:after="120" w:line="288" w:lineRule="auto"/>
        <w:ind w:left="0"/>
        <w:jc w:val="left"/>
      </w:pPr>
      <w:r>
        <w:rPr>
          <w:rFonts w:ascii="Arial" w:hAnsi="Arial" w:eastAsia="等线" w:cs="Arial"/>
          <w:b/>
          <w:sz w:val="22"/>
        </w:rPr>
        <w:t>质量控制机制</w:t>
      </w:r>
      <w:r>
        <w:rPr>
          <w:rFonts w:ascii="Arial" w:hAnsi="Arial" w:eastAsia="等线" w:cs="Arial"/>
          <w:sz w:val="22"/>
        </w:rPr>
        <w:t>：在各关键节点设置质量检查点，确保数据质量、建模过程、评估结果的可靠性</w:t>
      </w:r>
    </w:p>
    <w:p w14:paraId="6E708C34">
      <w:pPr>
        <w:spacing w:before="320" w:after="120" w:line="288" w:lineRule="auto"/>
        <w:ind w:left="0"/>
        <w:jc w:val="left"/>
        <w:outlineLvl w:val="1"/>
      </w:pPr>
      <w:bookmarkStart w:id="8" w:name="heading_8"/>
      <w:r>
        <w:rPr>
          <w:rFonts w:ascii="Arial" w:hAnsi="Arial" w:eastAsia="等线" w:cs="Arial"/>
          <w:b/>
          <w:sz w:val="32"/>
        </w:rPr>
        <w:t>（三）项目核心成果</w:t>
      </w:r>
      <w:bookmarkEnd w:id="8"/>
    </w:p>
    <w:p w14:paraId="6901BAAF">
      <w:pPr>
        <w:spacing w:before="120" w:after="120" w:line="288" w:lineRule="auto"/>
        <w:ind w:left="0"/>
        <w:jc w:val="left"/>
      </w:pPr>
      <w:r>
        <w:rPr>
          <w:rFonts w:ascii="Arial" w:hAnsi="Arial" w:eastAsia="等线" w:cs="Arial"/>
          <w:sz w:val="22"/>
        </w:rPr>
        <w:t>通过团队协作，项目取得了显著的技术成果：</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2055"/>
        <w:gridCol w:w="1800"/>
        <w:gridCol w:w="2910"/>
      </w:tblGrid>
      <w:tr w14:paraId="7ED9B3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06D0A40B">
            <w:pPr>
              <w:spacing w:before="120" w:after="120" w:line="288" w:lineRule="auto"/>
              <w:ind w:left="0"/>
              <w:jc w:val="left"/>
            </w:pPr>
            <w:r>
              <w:rPr>
                <w:rFonts w:ascii="Arial" w:hAnsi="Arial" w:eastAsia="等线" w:cs="Arial"/>
                <w:sz w:val="22"/>
              </w:rPr>
              <w:t>任务类型</w:t>
            </w:r>
          </w:p>
        </w:tc>
        <w:tc>
          <w:tcPr>
            <w:tcW w:w="2055" w:type="dxa"/>
            <w:tcMar>
              <w:top w:w="60" w:type="dxa"/>
              <w:left w:w="120" w:type="dxa"/>
              <w:bottom w:w="30" w:type="dxa"/>
              <w:right w:w="120" w:type="dxa"/>
            </w:tcMar>
          </w:tcPr>
          <w:p w14:paraId="1ADED993">
            <w:pPr>
              <w:spacing w:before="120" w:after="120" w:line="288" w:lineRule="auto"/>
              <w:ind w:left="0"/>
              <w:jc w:val="left"/>
            </w:pPr>
            <w:r>
              <w:rPr>
                <w:rFonts w:ascii="Arial" w:hAnsi="Arial" w:eastAsia="等线" w:cs="Arial"/>
                <w:sz w:val="22"/>
              </w:rPr>
              <w:t>最优模型</w:t>
            </w:r>
          </w:p>
        </w:tc>
        <w:tc>
          <w:tcPr>
            <w:tcW w:w="1800" w:type="dxa"/>
            <w:tcMar>
              <w:top w:w="60" w:type="dxa"/>
              <w:left w:w="120" w:type="dxa"/>
              <w:bottom w:w="30" w:type="dxa"/>
              <w:right w:w="120" w:type="dxa"/>
            </w:tcMar>
          </w:tcPr>
          <w:p w14:paraId="7B15A9EA">
            <w:pPr>
              <w:spacing w:before="120" w:after="120" w:line="288" w:lineRule="auto"/>
              <w:ind w:left="0"/>
              <w:jc w:val="left"/>
            </w:pPr>
            <w:r>
              <w:rPr>
                <w:rFonts w:ascii="Arial" w:hAnsi="Arial" w:eastAsia="等线" w:cs="Arial"/>
                <w:sz w:val="22"/>
              </w:rPr>
              <w:t>核心指标</w:t>
            </w:r>
          </w:p>
        </w:tc>
        <w:tc>
          <w:tcPr>
            <w:tcW w:w="2910" w:type="dxa"/>
            <w:tcMar>
              <w:top w:w="60" w:type="dxa"/>
              <w:left w:w="120" w:type="dxa"/>
              <w:bottom w:w="30" w:type="dxa"/>
              <w:right w:w="120" w:type="dxa"/>
            </w:tcMar>
          </w:tcPr>
          <w:p w14:paraId="4679A7AF">
            <w:pPr>
              <w:spacing w:before="120" w:after="120" w:line="288" w:lineRule="auto"/>
              <w:ind w:left="0"/>
              <w:jc w:val="left"/>
            </w:pPr>
            <w:r>
              <w:rPr>
                <w:rFonts w:ascii="Arial" w:hAnsi="Arial" w:eastAsia="等线" w:cs="Arial"/>
                <w:sz w:val="22"/>
              </w:rPr>
              <w:t>表现水平</w:t>
            </w:r>
          </w:p>
        </w:tc>
      </w:tr>
      <w:tr w14:paraId="7BA71C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64B9E95">
            <w:pPr>
              <w:spacing w:before="120" w:after="120" w:line="288" w:lineRule="auto"/>
              <w:ind w:left="0"/>
              <w:jc w:val="left"/>
            </w:pPr>
            <w:r>
              <w:rPr>
                <w:rFonts w:ascii="Arial" w:hAnsi="Arial" w:eastAsia="等线" w:cs="Arial"/>
                <w:sz w:val="22"/>
              </w:rPr>
              <w:t>回归预测</w:t>
            </w:r>
          </w:p>
        </w:tc>
        <w:tc>
          <w:tcPr>
            <w:tcW w:w="2055" w:type="dxa"/>
            <w:tcMar>
              <w:top w:w="60" w:type="dxa"/>
              <w:left w:w="120" w:type="dxa"/>
              <w:bottom w:w="30" w:type="dxa"/>
              <w:right w:w="120" w:type="dxa"/>
            </w:tcMar>
          </w:tcPr>
          <w:p w14:paraId="3ED6FC14">
            <w:pPr>
              <w:spacing w:before="120" w:after="120" w:line="288" w:lineRule="auto"/>
              <w:ind w:left="0"/>
              <w:jc w:val="left"/>
            </w:pPr>
            <w:r>
              <w:rPr>
                <w:rFonts w:ascii="Arial" w:hAnsi="Arial" w:eastAsia="等线" w:cs="Arial"/>
                <w:sz w:val="22"/>
              </w:rPr>
              <w:t>XGBoost</w:t>
            </w:r>
          </w:p>
        </w:tc>
        <w:tc>
          <w:tcPr>
            <w:tcW w:w="1800" w:type="dxa"/>
            <w:tcMar>
              <w:top w:w="60" w:type="dxa"/>
              <w:left w:w="120" w:type="dxa"/>
              <w:bottom w:w="30" w:type="dxa"/>
              <w:right w:w="120" w:type="dxa"/>
            </w:tcMar>
          </w:tcPr>
          <w:p w14:paraId="76E08930">
            <w:pPr>
              <w:spacing w:before="120" w:after="120" w:line="288" w:lineRule="auto"/>
              <w:ind w:left="0"/>
              <w:jc w:val="left"/>
            </w:pPr>
            <w:r>
              <w:rPr>
                <w:rFonts w:ascii="Arial" w:hAnsi="Arial" w:eastAsia="等线" w:cs="Arial"/>
                <w:sz w:val="22"/>
              </w:rPr>
              <w:t>R² = 0.9798</w:t>
            </w:r>
          </w:p>
        </w:tc>
        <w:tc>
          <w:tcPr>
            <w:tcW w:w="2910" w:type="dxa"/>
            <w:tcMar>
              <w:top w:w="60" w:type="dxa"/>
              <w:left w:w="120" w:type="dxa"/>
              <w:bottom w:w="30" w:type="dxa"/>
              <w:right w:w="120" w:type="dxa"/>
            </w:tcMar>
          </w:tcPr>
          <w:p w14:paraId="2B560274">
            <w:pPr>
              <w:spacing w:before="120" w:after="120" w:line="288" w:lineRule="auto"/>
              <w:ind w:left="0"/>
              <w:jc w:val="left"/>
            </w:pPr>
            <w:r>
              <w:rPr>
                <w:rFonts w:ascii="Arial" w:hAnsi="Arial" w:eastAsia="等线" w:cs="Arial"/>
                <w:sz w:val="22"/>
              </w:rPr>
              <w:t>可解释98%的薪资变异</w:t>
            </w:r>
          </w:p>
        </w:tc>
      </w:tr>
      <w:tr w14:paraId="599D7C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0ACBCCE6">
            <w:pPr>
              <w:spacing w:before="120" w:after="120" w:line="288" w:lineRule="auto"/>
              <w:ind w:left="0"/>
              <w:jc w:val="left"/>
            </w:pPr>
            <w:r>
              <w:rPr>
                <w:rFonts w:ascii="Arial" w:hAnsi="Arial" w:eastAsia="等线" w:cs="Arial"/>
                <w:sz w:val="22"/>
              </w:rPr>
              <w:t>区间分类</w:t>
            </w:r>
          </w:p>
        </w:tc>
        <w:tc>
          <w:tcPr>
            <w:tcW w:w="2055" w:type="dxa"/>
            <w:tcMar>
              <w:top w:w="60" w:type="dxa"/>
              <w:left w:w="120" w:type="dxa"/>
              <w:bottom w:w="30" w:type="dxa"/>
              <w:right w:w="120" w:type="dxa"/>
            </w:tcMar>
          </w:tcPr>
          <w:p w14:paraId="452CAD34">
            <w:pPr>
              <w:spacing w:before="120" w:after="120" w:line="288" w:lineRule="auto"/>
              <w:ind w:left="0"/>
              <w:jc w:val="left"/>
            </w:pPr>
            <w:r>
              <w:rPr>
                <w:rFonts w:ascii="Arial" w:hAnsi="Arial" w:eastAsia="等线" w:cs="Arial"/>
                <w:sz w:val="22"/>
              </w:rPr>
              <w:t>Logistic回归</w:t>
            </w:r>
          </w:p>
        </w:tc>
        <w:tc>
          <w:tcPr>
            <w:tcW w:w="1800" w:type="dxa"/>
            <w:tcMar>
              <w:top w:w="60" w:type="dxa"/>
              <w:left w:w="120" w:type="dxa"/>
              <w:bottom w:w="30" w:type="dxa"/>
              <w:right w:w="120" w:type="dxa"/>
            </w:tcMar>
          </w:tcPr>
          <w:p w14:paraId="1B79AF71">
            <w:pPr>
              <w:spacing w:before="120" w:after="120" w:line="288" w:lineRule="auto"/>
              <w:ind w:left="0"/>
              <w:jc w:val="left"/>
            </w:pPr>
            <w:r>
              <w:rPr>
                <w:rFonts w:ascii="Arial" w:hAnsi="Arial" w:eastAsia="等线" w:cs="Arial"/>
                <w:sz w:val="22"/>
              </w:rPr>
              <w:t>F1 = 0.9193</w:t>
            </w:r>
          </w:p>
        </w:tc>
        <w:tc>
          <w:tcPr>
            <w:tcW w:w="2910" w:type="dxa"/>
            <w:tcMar>
              <w:top w:w="60" w:type="dxa"/>
              <w:left w:w="120" w:type="dxa"/>
              <w:bottom w:w="30" w:type="dxa"/>
              <w:right w:w="120" w:type="dxa"/>
            </w:tcMar>
          </w:tcPr>
          <w:p w14:paraId="2C2CA429">
            <w:pPr>
              <w:spacing w:before="120" w:after="120" w:line="288" w:lineRule="auto"/>
              <w:ind w:left="0"/>
              <w:jc w:val="left"/>
            </w:pPr>
            <w:r>
              <w:rPr>
                <w:rFonts w:ascii="Arial" w:hAnsi="Arial" w:eastAsia="等线" w:cs="Arial"/>
                <w:sz w:val="22"/>
              </w:rPr>
              <w:t>四分类准确率超91%</w:t>
            </w:r>
          </w:p>
        </w:tc>
      </w:tr>
    </w:tbl>
    <w:p w14:paraId="1CB9D927">
      <w:pPr>
        <w:spacing w:before="380" w:after="140" w:line="288" w:lineRule="auto"/>
        <w:ind w:left="0"/>
        <w:jc w:val="left"/>
        <w:outlineLvl w:val="0"/>
      </w:pPr>
      <w:bookmarkStart w:id="9" w:name="heading_9"/>
      <w:r>
        <w:rPr>
          <w:rFonts w:ascii="Arial" w:hAnsi="Arial" w:eastAsia="等线" w:cs="Arial"/>
          <w:b/>
          <w:sz w:val="36"/>
        </w:rPr>
        <w:t>四、个人收获与成长</w:t>
      </w:r>
      <w:bookmarkEnd w:id="9"/>
    </w:p>
    <w:p w14:paraId="1C6502E4">
      <w:pPr>
        <w:spacing w:before="320" w:after="120" w:line="288" w:lineRule="auto"/>
        <w:ind w:left="0"/>
        <w:jc w:val="left"/>
        <w:outlineLvl w:val="1"/>
      </w:pPr>
      <w:bookmarkStart w:id="10" w:name="heading_10"/>
      <w:r>
        <w:rPr>
          <w:rFonts w:ascii="Arial" w:hAnsi="Arial" w:eastAsia="等线" w:cs="Arial"/>
          <w:b/>
          <w:sz w:val="32"/>
        </w:rPr>
        <w:t>（一）技术能力提升</w:t>
      </w:r>
      <w:bookmarkEnd w:id="10"/>
    </w:p>
    <w:p w14:paraId="56B770D0">
      <w:pPr>
        <w:numPr>
          <w:ilvl w:val="0"/>
          <w:numId w:val="21"/>
        </w:numPr>
        <w:spacing w:before="120" w:after="120" w:line="288" w:lineRule="auto"/>
        <w:ind w:left="0"/>
        <w:jc w:val="left"/>
      </w:pPr>
      <w:r>
        <w:rPr>
          <w:rFonts w:ascii="Arial" w:hAnsi="Arial" w:eastAsia="等线" w:cs="Arial"/>
          <w:b/>
          <w:sz w:val="22"/>
        </w:rPr>
        <w:t>数据可视化能力</w:t>
      </w:r>
      <w:r>
        <w:rPr>
          <w:rFonts w:ascii="Arial" w:hAnsi="Arial" w:eastAsia="等线" w:cs="Arial"/>
          <w:sz w:val="22"/>
        </w:rPr>
        <w:t>：熟练掌握了多种统计图表的设计原则与实现方法，学会了如何通过可视化有效传递数据洞察</w:t>
      </w:r>
    </w:p>
    <w:p w14:paraId="7C63D06B">
      <w:pPr>
        <w:numPr>
          <w:ilvl w:val="0"/>
          <w:numId w:val="22"/>
        </w:numPr>
        <w:spacing w:before="120" w:after="120" w:line="288" w:lineRule="auto"/>
        <w:ind w:left="0"/>
        <w:jc w:val="left"/>
      </w:pPr>
      <w:r>
        <w:rPr>
          <w:rFonts w:ascii="Arial" w:hAnsi="Arial" w:eastAsia="等线" w:cs="Arial"/>
          <w:b/>
          <w:sz w:val="22"/>
        </w:rPr>
        <w:t>项目管理思维</w:t>
      </w:r>
      <w:r>
        <w:rPr>
          <w:rFonts w:ascii="Arial" w:hAnsi="Arial" w:eastAsia="等线" w:cs="Arial"/>
          <w:sz w:val="22"/>
        </w:rPr>
        <w:t>：通过流程构造工作，培养了系统化的项目规划能力和全局视野</w:t>
      </w:r>
    </w:p>
    <w:p w14:paraId="6DB0438C">
      <w:pPr>
        <w:numPr>
          <w:ilvl w:val="0"/>
          <w:numId w:val="23"/>
        </w:numPr>
        <w:spacing w:before="120" w:after="120" w:line="288" w:lineRule="auto"/>
        <w:ind w:left="0"/>
        <w:jc w:val="left"/>
      </w:pPr>
      <w:r>
        <w:rPr>
          <w:rFonts w:ascii="Arial" w:hAnsi="Arial" w:eastAsia="等线" w:cs="Arial"/>
          <w:b/>
          <w:sz w:val="22"/>
        </w:rPr>
        <w:t>技术表达能力</w:t>
      </w:r>
      <w:r>
        <w:rPr>
          <w:rFonts w:ascii="Arial" w:hAnsi="Arial" w:eastAsia="等线" w:cs="Arial"/>
          <w:sz w:val="22"/>
        </w:rPr>
        <w:t>：在汇报工作中锻炼了将复杂技术内容转化为清晰易懂表达的能力</w:t>
      </w:r>
    </w:p>
    <w:p w14:paraId="75BA6151">
      <w:pPr>
        <w:spacing w:before="320" w:after="120" w:line="288" w:lineRule="auto"/>
        <w:ind w:left="0"/>
        <w:jc w:val="left"/>
        <w:outlineLvl w:val="1"/>
      </w:pPr>
      <w:bookmarkStart w:id="11" w:name="heading_11"/>
      <w:r>
        <w:rPr>
          <w:rFonts w:ascii="Arial" w:hAnsi="Arial" w:eastAsia="等线" w:cs="Arial"/>
          <w:b/>
          <w:sz w:val="32"/>
        </w:rPr>
        <w:t>（二）专业认知深化</w:t>
      </w:r>
      <w:bookmarkEnd w:id="11"/>
    </w:p>
    <w:p w14:paraId="77700A7F">
      <w:pPr>
        <w:numPr>
          <w:ilvl w:val="0"/>
          <w:numId w:val="24"/>
        </w:numPr>
        <w:spacing w:before="120" w:after="120" w:line="288" w:lineRule="auto"/>
        <w:ind w:left="0"/>
        <w:jc w:val="left"/>
      </w:pPr>
      <w:r>
        <w:rPr>
          <w:rFonts w:ascii="Arial" w:hAnsi="Arial" w:eastAsia="等线" w:cs="Arial"/>
          <w:b/>
          <w:sz w:val="22"/>
        </w:rPr>
        <w:t>模型选择的辩证思维</w:t>
      </w:r>
      <w:r>
        <w:rPr>
          <w:rFonts w:ascii="Arial" w:hAnsi="Arial" w:eastAsia="等线" w:cs="Arial"/>
          <w:sz w:val="22"/>
        </w:rPr>
        <w:t>：深刻认识到"复杂模型不一定总是更好"。XGBoost在回归任务中表现卓越，但Logistic回归在分类任务中反而胜出，说明模型选择必须结合具体数据和任务类型</w:t>
      </w:r>
    </w:p>
    <w:p w14:paraId="17FA7FF6">
      <w:pPr>
        <w:numPr>
          <w:ilvl w:val="0"/>
          <w:numId w:val="25"/>
        </w:numPr>
        <w:spacing w:before="120" w:after="120" w:line="288" w:lineRule="auto"/>
        <w:ind w:left="0"/>
        <w:jc w:val="left"/>
      </w:pPr>
      <w:r>
        <w:rPr>
          <w:rFonts w:ascii="Arial" w:hAnsi="Arial" w:eastAsia="等线" w:cs="Arial"/>
          <w:b/>
          <w:sz w:val="22"/>
        </w:rPr>
        <w:t>数据驱动的决策价值</w:t>
      </w:r>
      <w:r>
        <w:rPr>
          <w:rFonts w:ascii="Arial" w:hAnsi="Arial" w:eastAsia="等线" w:cs="Arial"/>
          <w:sz w:val="22"/>
        </w:rPr>
        <w:t>：通过特征重要性分析，验证了工作经验、地区、公司规模、学历是影响薪资的四大核心因素，这种量化认知比经验直觉更有说服力</w:t>
      </w:r>
    </w:p>
    <w:p w14:paraId="7A2E492D">
      <w:pPr>
        <w:numPr>
          <w:ilvl w:val="0"/>
          <w:numId w:val="26"/>
        </w:numPr>
        <w:spacing w:before="120" w:after="120" w:line="288" w:lineRule="auto"/>
        <w:ind w:left="0"/>
        <w:jc w:val="left"/>
      </w:pPr>
      <w:r>
        <w:rPr>
          <w:rFonts w:ascii="Arial" w:hAnsi="Arial" w:eastAsia="等线" w:cs="Arial"/>
          <w:b/>
          <w:sz w:val="22"/>
        </w:rPr>
        <w:t>端到端的工程意识</w:t>
      </w:r>
      <w:r>
        <w:rPr>
          <w:rFonts w:ascii="Arial" w:hAnsi="Arial" w:eastAsia="等线" w:cs="Arial"/>
          <w:sz w:val="22"/>
        </w:rPr>
        <w:t>：完整经历了从数据到模型再到应用的全流程，理解了数据挖掘不仅是算法问题，更是系统工程</w:t>
      </w:r>
    </w:p>
    <w:p w14:paraId="0F4A4A2D">
      <w:pPr>
        <w:spacing w:before="320" w:after="120" w:line="288" w:lineRule="auto"/>
        <w:ind w:left="0"/>
        <w:jc w:val="left"/>
        <w:outlineLvl w:val="1"/>
      </w:pPr>
      <w:bookmarkStart w:id="12" w:name="heading_12"/>
      <w:r>
        <w:rPr>
          <w:rFonts w:ascii="Arial" w:hAnsi="Arial" w:eastAsia="等线" w:cs="Arial"/>
          <w:b/>
          <w:sz w:val="32"/>
        </w:rPr>
        <w:t>（三）团队协作经验</w:t>
      </w:r>
      <w:bookmarkEnd w:id="12"/>
    </w:p>
    <w:p w14:paraId="363DDC1E">
      <w:pPr>
        <w:numPr>
          <w:ilvl w:val="0"/>
          <w:numId w:val="27"/>
        </w:numPr>
        <w:spacing w:before="120" w:after="120" w:line="288" w:lineRule="auto"/>
        <w:ind w:left="0"/>
        <w:jc w:val="left"/>
      </w:pPr>
      <w:r>
        <w:rPr>
          <w:rFonts w:ascii="Arial" w:hAnsi="Arial" w:eastAsia="等线" w:cs="Arial"/>
          <w:sz w:val="22"/>
        </w:rPr>
        <w:t>学会了如何在团队中发挥专业特长，通过可视化和流程设计为团队提供基础支撑</w:t>
      </w:r>
    </w:p>
    <w:p w14:paraId="46EA34FB">
      <w:pPr>
        <w:numPr>
          <w:ilvl w:val="0"/>
          <w:numId w:val="28"/>
        </w:numPr>
        <w:spacing w:before="120" w:after="120" w:line="288" w:lineRule="auto"/>
        <w:ind w:left="0"/>
        <w:jc w:val="left"/>
      </w:pPr>
      <w:r>
        <w:rPr>
          <w:rFonts w:ascii="Arial" w:hAnsi="Arial" w:eastAsia="等线" w:cs="Arial"/>
          <w:sz w:val="22"/>
        </w:rPr>
        <w:t>掌握了跨角色沟通的技巧，能够将技术细节准确转化为汇报语言</w:t>
      </w:r>
    </w:p>
    <w:p w14:paraId="194541F2">
      <w:pPr>
        <w:numPr>
          <w:ilvl w:val="0"/>
          <w:numId w:val="29"/>
        </w:numPr>
        <w:spacing w:before="120" w:after="120" w:line="288" w:lineRule="auto"/>
        <w:ind w:left="0"/>
        <w:jc w:val="left"/>
      </w:pPr>
      <w:r>
        <w:rPr>
          <w:rFonts w:ascii="Arial" w:hAnsi="Arial" w:eastAsia="等线" w:cs="Arial"/>
          <w:sz w:val="22"/>
        </w:rPr>
        <w:t>理解了项目成功需要各环节的紧密配合，流程标准化是高效协作的基础</w:t>
      </w:r>
    </w:p>
    <w:p w14:paraId="170B3475">
      <w:pPr>
        <w:spacing w:before="380" w:after="140" w:line="288" w:lineRule="auto"/>
        <w:ind w:left="0"/>
        <w:jc w:val="left"/>
        <w:outlineLvl w:val="0"/>
      </w:pPr>
      <w:bookmarkStart w:id="13" w:name="heading_13"/>
      <w:r>
        <w:rPr>
          <w:rFonts w:ascii="Arial" w:hAnsi="Arial" w:eastAsia="等线" w:cs="Arial"/>
          <w:b/>
          <w:sz w:val="36"/>
        </w:rPr>
        <w:t>五、总结与展望</w:t>
      </w:r>
      <w:bookmarkEnd w:id="13"/>
    </w:p>
    <w:p w14:paraId="499EA4AF">
      <w:pPr>
        <w:spacing w:before="120" w:after="120" w:line="288" w:lineRule="auto"/>
        <w:ind w:left="0"/>
        <w:jc w:val="left"/>
      </w:pPr>
      <w:r>
        <w:rPr>
          <w:rFonts w:ascii="Arial" w:hAnsi="Arial" w:eastAsia="等线" w:cs="Arial"/>
          <w:sz w:val="22"/>
        </w:rPr>
        <w:t>通过本次"技术岗位薪酬预测与薪资区间识别"项目，我在数据可视化、项目流程设计和成果汇报三个方面得到了全面锻炼。项目不仅产出了具有实用价值的薪资预测模型，更重要的是，让我建立了系统化的数据挖掘思维框架。</w:t>
      </w:r>
    </w:p>
    <w:p w14:paraId="08D8BAB4">
      <w:pPr>
        <w:spacing w:before="120" w:after="120" w:line="288" w:lineRule="auto"/>
        <w:ind w:left="0"/>
        <w:jc w:val="left"/>
      </w:pPr>
      <w:r>
        <w:rPr>
          <w:rFonts w:ascii="Arial" w:hAnsi="Arial" w:eastAsia="等线" w:cs="Arial"/>
          <w:sz w:val="22"/>
        </w:rPr>
        <w:t>未来，我将继续深化在数据可视化和项目管理方面的能力，探索更丰富的可视化手段和更高效的项目管理方法。同时，也将进一步加强技术深度，将流程设计与算法实现更好地结合，为未来的数据分析工作打下更坚实的基础。</w:t>
      </w:r>
    </w:p>
    <w:p w14:paraId="246E4CBB">
      <w:pPr>
        <w:spacing w:before="120" w:after="120" w:line="288" w:lineRule="auto"/>
        <w:ind w:left="0"/>
        <w:jc w:val="both"/>
      </w:pPr>
      <w:bookmarkStart w:id="14" w:name="_GoBack"/>
      <w:bookmarkEnd w:id="14"/>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3E6A21DB-A58D-4323-AF65-015C7269B740}"/>
  </w:font>
  <w:font w:name="Arial">
    <w:panose1 w:val="020B0604020202020204"/>
    <w:charset w:val="00"/>
    <w:family w:val="auto"/>
    <w:pitch w:val="default"/>
    <w:sig w:usb0="E0002EFF" w:usb1="C000785B" w:usb2="00000009" w:usb3="00000000" w:csb0="400001FF" w:csb1="FFFF0000"/>
    <w:embedRegular r:id="rId2" w:fontKey="{C9190523-5910-4E83-A48F-CC8FD64A8560}"/>
  </w:font>
  <w:font w:name="等线">
    <w:panose1 w:val="02010600030101010101"/>
    <w:charset w:val="86"/>
    <w:family w:val="auto"/>
    <w:pitch w:val="default"/>
    <w:sig w:usb0="A00002BF" w:usb1="38CF7CFA" w:usb2="00000016" w:usb3="00000000" w:csb0="0004000F" w:csb1="00000000"/>
    <w:embedRegular r:id="rId3" w:fontKey="{DC3A9C01-5198-422A-9304-D8810763F07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3DB8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B4B7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9288B902"/>
    <w:multiLevelType w:val="singleLevel"/>
    <w:tmpl w:val="9288B902"/>
    <w:lvl w:ilvl="0" w:tentative="0">
      <w:start w:val="0"/>
      <w:numFmt w:val="bullet"/>
      <w:lvlText w:val="•"/>
      <w:lvlJc w:val="left"/>
      <w:rPr>
        <w:color w:val="3370FF"/>
      </w:rPr>
    </w:lvl>
  </w:abstractNum>
  <w:abstractNum w:abstractNumId="2">
    <w:nsid w:val="9C8AC8EF"/>
    <w:multiLevelType w:val="singleLevel"/>
    <w:tmpl w:val="9C8AC8EF"/>
    <w:lvl w:ilvl="0" w:tentative="0">
      <w:start w:val="2"/>
      <w:numFmt w:val="decimal"/>
      <w:lvlText w:val="%1."/>
      <w:lvlJc w:val="left"/>
      <w:rPr>
        <w:color w:val="3370FF"/>
      </w:rPr>
    </w:lvl>
  </w:abstractNum>
  <w:abstractNum w:abstractNumId="3">
    <w:nsid w:val="B0F1ACD9"/>
    <w:multiLevelType w:val="singleLevel"/>
    <w:tmpl w:val="B0F1ACD9"/>
    <w:lvl w:ilvl="0" w:tentative="0">
      <w:start w:val="1"/>
      <w:numFmt w:val="decimal"/>
      <w:lvlText w:val="%1."/>
      <w:lvlJc w:val="left"/>
      <w:rPr>
        <w:color w:val="3370FF"/>
      </w:rPr>
    </w:lvl>
  </w:abstractNum>
  <w:abstractNum w:abstractNumId="4">
    <w:nsid w:val="B5E306ED"/>
    <w:multiLevelType w:val="singleLevel"/>
    <w:tmpl w:val="B5E306ED"/>
    <w:lvl w:ilvl="0" w:tentative="0">
      <w:start w:val="0"/>
      <w:numFmt w:val="bullet"/>
      <w:lvlText w:val="•"/>
      <w:lvlJc w:val="left"/>
      <w:rPr>
        <w:color w:val="3370FF"/>
      </w:rPr>
    </w:lvl>
  </w:abstractNum>
  <w:abstractNum w:abstractNumId="5">
    <w:nsid w:val="BE923771"/>
    <w:multiLevelType w:val="singleLevel"/>
    <w:tmpl w:val="BE923771"/>
    <w:lvl w:ilvl="0" w:tentative="0">
      <w:start w:val="0"/>
      <w:numFmt w:val="bullet"/>
      <w:lvlText w:val="•"/>
      <w:lvlJc w:val="left"/>
      <w:rPr>
        <w:color w:val="3370FF"/>
      </w:rPr>
    </w:lvl>
  </w:abstractNum>
  <w:abstractNum w:abstractNumId="6">
    <w:nsid w:val="BF205925"/>
    <w:multiLevelType w:val="singleLevel"/>
    <w:tmpl w:val="BF205925"/>
    <w:lvl w:ilvl="0" w:tentative="0">
      <w:start w:val="0"/>
      <w:numFmt w:val="bullet"/>
      <w:lvlText w:val="•"/>
      <w:lvlJc w:val="left"/>
      <w:rPr>
        <w:color w:val="3370FF"/>
      </w:rPr>
    </w:lvl>
  </w:abstractNum>
  <w:abstractNum w:abstractNumId="7">
    <w:nsid w:val="C8879AEF"/>
    <w:multiLevelType w:val="singleLevel"/>
    <w:tmpl w:val="C8879AEF"/>
    <w:lvl w:ilvl="0" w:tentative="0">
      <w:start w:val="0"/>
      <w:numFmt w:val="bullet"/>
      <w:lvlText w:val="•"/>
      <w:lvlJc w:val="left"/>
      <w:rPr>
        <w:color w:val="3370FF"/>
      </w:rPr>
    </w:lvl>
  </w:abstractNum>
  <w:abstractNum w:abstractNumId="8">
    <w:nsid w:val="CF092B84"/>
    <w:multiLevelType w:val="singleLevel"/>
    <w:tmpl w:val="CF092B84"/>
    <w:lvl w:ilvl="0" w:tentative="0">
      <w:start w:val="0"/>
      <w:numFmt w:val="bullet"/>
      <w:lvlText w:val="•"/>
      <w:lvlJc w:val="left"/>
      <w:rPr>
        <w:color w:val="3370FF"/>
      </w:rPr>
    </w:lvl>
  </w:abstractNum>
  <w:abstractNum w:abstractNumId="9">
    <w:nsid w:val="D7F9FE59"/>
    <w:multiLevelType w:val="singleLevel"/>
    <w:tmpl w:val="D7F9FE59"/>
    <w:lvl w:ilvl="0" w:tentative="0">
      <w:start w:val="1"/>
      <w:numFmt w:val="decimal"/>
      <w:lvlText w:val="%1."/>
      <w:lvlJc w:val="left"/>
      <w:rPr>
        <w:color w:val="3370FF"/>
      </w:rPr>
    </w:lvl>
  </w:abstractNum>
  <w:abstractNum w:abstractNumId="10">
    <w:nsid w:val="DCBA6B53"/>
    <w:multiLevelType w:val="singleLevel"/>
    <w:tmpl w:val="DCBA6B53"/>
    <w:lvl w:ilvl="0" w:tentative="0">
      <w:start w:val="3"/>
      <w:numFmt w:val="decimal"/>
      <w:lvlText w:val="%1."/>
      <w:lvlJc w:val="left"/>
      <w:rPr>
        <w:color w:val="3370FF"/>
      </w:rPr>
    </w:lvl>
  </w:abstractNum>
  <w:abstractNum w:abstractNumId="11">
    <w:nsid w:val="F4B5D9F5"/>
    <w:multiLevelType w:val="singleLevel"/>
    <w:tmpl w:val="F4B5D9F5"/>
    <w:lvl w:ilvl="0" w:tentative="0">
      <w:start w:val="1"/>
      <w:numFmt w:val="decimal"/>
      <w:lvlText w:val="%1."/>
      <w:lvlJc w:val="left"/>
      <w:rPr>
        <w:color w:val="3370FF"/>
      </w:rPr>
    </w:lvl>
  </w:abstractNum>
  <w:abstractNum w:abstractNumId="12">
    <w:nsid w:val="0053208E"/>
    <w:multiLevelType w:val="singleLevel"/>
    <w:tmpl w:val="0053208E"/>
    <w:lvl w:ilvl="0" w:tentative="0">
      <w:start w:val="0"/>
      <w:numFmt w:val="bullet"/>
      <w:lvlText w:val="•"/>
      <w:lvlJc w:val="left"/>
      <w:rPr>
        <w:color w:val="3370FF"/>
      </w:rPr>
    </w:lvl>
  </w:abstractNum>
  <w:abstractNum w:abstractNumId="13">
    <w:nsid w:val="0248C179"/>
    <w:multiLevelType w:val="singleLevel"/>
    <w:tmpl w:val="0248C179"/>
    <w:lvl w:ilvl="0" w:tentative="0">
      <w:start w:val="0"/>
      <w:numFmt w:val="bullet"/>
      <w:lvlText w:val="•"/>
      <w:lvlJc w:val="left"/>
      <w:rPr>
        <w:color w:val="3370FF"/>
      </w:rPr>
    </w:lvl>
  </w:abstractNum>
  <w:abstractNum w:abstractNumId="14">
    <w:nsid w:val="03D62ECE"/>
    <w:multiLevelType w:val="singleLevel"/>
    <w:tmpl w:val="03D62ECE"/>
    <w:lvl w:ilvl="0" w:tentative="0">
      <w:start w:val="0"/>
      <w:numFmt w:val="bullet"/>
      <w:lvlText w:val="•"/>
      <w:lvlJc w:val="left"/>
      <w:rPr>
        <w:color w:val="3370FF"/>
      </w:rPr>
    </w:lvl>
  </w:abstractNum>
  <w:abstractNum w:abstractNumId="15">
    <w:nsid w:val="0E640482"/>
    <w:multiLevelType w:val="singleLevel"/>
    <w:tmpl w:val="0E640482"/>
    <w:lvl w:ilvl="0" w:tentative="0">
      <w:start w:val="0"/>
      <w:numFmt w:val="bullet"/>
      <w:lvlText w:val="•"/>
      <w:lvlJc w:val="left"/>
      <w:rPr>
        <w:color w:val="3370FF"/>
      </w:rPr>
    </w:lvl>
  </w:abstractNum>
  <w:abstractNum w:abstractNumId="16">
    <w:nsid w:val="2470EC97"/>
    <w:multiLevelType w:val="singleLevel"/>
    <w:tmpl w:val="2470EC97"/>
    <w:lvl w:ilvl="0" w:tentative="0">
      <w:start w:val="2"/>
      <w:numFmt w:val="decimal"/>
      <w:lvlText w:val="%1."/>
      <w:lvlJc w:val="left"/>
      <w:rPr>
        <w:color w:val="3370FF"/>
      </w:rPr>
    </w:lvl>
  </w:abstractNum>
  <w:abstractNum w:abstractNumId="17">
    <w:nsid w:val="25B654F3"/>
    <w:multiLevelType w:val="singleLevel"/>
    <w:tmpl w:val="25B654F3"/>
    <w:lvl w:ilvl="0" w:tentative="0">
      <w:start w:val="0"/>
      <w:numFmt w:val="bullet"/>
      <w:lvlText w:val="•"/>
      <w:lvlJc w:val="left"/>
      <w:rPr>
        <w:color w:val="3370FF"/>
      </w:rPr>
    </w:lvl>
  </w:abstractNum>
  <w:abstractNum w:abstractNumId="18">
    <w:nsid w:val="2A8F537B"/>
    <w:multiLevelType w:val="singleLevel"/>
    <w:tmpl w:val="2A8F537B"/>
    <w:lvl w:ilvl="0" w:tentative="0">
      <w:start w:val="0"/>
      <w:numFmt w:val="bullet"/>
      <w:lvlText w:val="•"/>
      <w:lvlJc w:val="left"/>
      <w:rPr>
        <w:color w:val="3370FF"/>
      </w:rPr>
    </w:lvl>
  </w:abstractNum>
  <w:abstractNum w:abstractNumId="19">
    <w:nsid w:val="46A08BB8"/>
    <w:multiLevelType w:val="singleLevel"/>
    <w:tmpl w:val="46A08BB8"/>
    <w:lvl w:ilvl="0" w:tentative="0">
      <w:start w:val="0"/>
      <w:numFmt w:val="bullet"/>
      <w:lvlText w:val="•"/>
      <w:lvlJc w:val="left"/>
      <w:rPr>
        <w:color w:val="3370FF"/>
      </w:rPr>
    </w:lvl>
  </w:abstractNum>
  <w:abstractNum w:abstractNumId="20">
    <w:nsid w:val="4C1BAE26"/>
    <w:multiLevelType w:val="singleLevel"/>
    <w:tmpl w:val="4C1BAE26"/>
    <w:lvl w:ilvl="0" w:tentative="0">
      <w:start w:val="3"/>
      <w:numFmt w:val="decimal"/>
      <w:lvlText w:val="%1."/>
      <w:lvlJc w:val="left"/>
      <w:rPr>
        <w:color w:val="3370FF"/>
      </w:rPr>
    </w:lvl>
  </w:abstractNum>
  <w:abstractNum w:abstractNumId="21">
    <w:nsid w:val="4D4DC07F"/>
    <w:multiLevelType w:val="singleLevel"/>
    <w:tmpl w:val="4D4DC07F"/>
    <w:lvl w:ilvl="0" w:tentative="0">
      <w:start w:val="0"/>
      <w:numFmt w:val="bullet"/>
      <w:lvlText w:val="•"/>
      <w:lvlJc w:val="left"/>
      <w:rPr>
        <w:color w:val="3370FF"/>
      </w:rPr>
    </w:lvl>
  </w:abstractNum>
  <w:abstractNum w:abstractNumId="22">
    <w:nsid w:val="59ADCABA"/>
    <w:multiLevelType w:val="singleLevel"/>
    <w:tmpl w:val="59ADCABA"/>
    <w:lvl w:ilvl="0" w:tentative="0">
      <w:start w:val="0"/>
      <w:numFmt w:val="bullet"/>
      <w:lvlText w:val="•"/>
      <w:lvlJc w:val="left"/>
      <w:rPr>
        <w:color w:val="3370FF"/>
      </w:rPr>
    </w:lvl>
  </w:abstractNum>
  <w:abstractNum w:abstractNumId="23">
    <w:nsid w:val="5A241D34"/>
    <w:multiLevelType w:val="singleLevel"/>
    <w:tmpl w:val="5A241D34"/>
    <w:lvl w:ilvl="0" w:tentative="0">
      <w:start w:val="0"/>
      <w:numFmt w:val="bullet"/>
      <w:lvlText w:val="•"/>
      <w:lvlJc w:val="left"/>
      <w:rPr>
        <w:color w:val="3370FF"/>
      </w:rPr>
    </w:lvl>
  </w:abstractNum>
  <w:abstractNum w:abstractNumId="24">
    <w:nsid w:val="60382F6E"/>
    <w:multiLevelType w:val="singleLevel"/>
    <w:tmpl w:val="60382F6E"/>
    <w:lvl w:ilvl="0" w:tentative="0">
      <w:start w:val="0"/>
      <w:numFmt w:val="bullet"/>
      <w:lvlText w:val="•"/>
      <w:lvlJc w:val="left"/>
      <w:rPr>
        <w:color w:val="3370FF"/>
      </w:rPr>
    </w:lvl>
  </w:abstractNum>
  <w:abstractNum w:abstractNumId="25">
    <w:nsid w:val="629F7852"/>
    <w:multiLevelType w:val="singleLevel"/>
    <w:tmpl w:val="629F7852"/>
    <w:lvl w:ilvl="0" w:tentative="0">
      <w:start w:val="0"/>
      <w:numFmt w:val="bullet"/>
      <w:lvlText w:val="•"/>
      <w:lvlJc w:val="left"/>
      <w:rPr>
        <w:color w:val="3370FF"/>
      </w:rPr>
    </w:lvl>
  </w:abstractNum>
  <w:abstractNum w:abstractNumId="26">
    <w:nsid w:val="72183CF9"/>
    <w:multiLevelType w:val="singleLevel"/>
    <w:tmpl w:val="72183CF9"/>
    <w:lvl w:ilvl="0" w:tentative="0">
      <w:start w:val="0"/>
      <w:numFmt w:val="bullet"/>
      <w:lvlText w:val="•"/>
      <w:lvlJc w:val="left"/>
      <w:rPr>
        <w:color w:val="3370FF"/>
      </w:rPr>
    </w:lvl>
  </w:abstractNum>
  <w:abstractNum w:abstractNumId="27">
    <w:nsid w:val="77ECEA79"/>
    <w:multiLevelType w:val="singleLevel"/>
    <w:tmpl w:val="77ECEA79"/>
    <w:lvl w:ilvl="0" w:tentative="0">
      <w:start w:val="3"/>
      <w:numFmt w:val="decimal"/>
      <w:lvlText w:val="%1."/>
      <w:lvlJc w:val="left"/>
      <w:rPr>
        <w:color w:val="3370FF"/>
      </w:rPr>
    </w:lvl>
  </w:abstractNum>
  <w:abstractNum w:abstractNumId="28">
    <w:nsid w:val="7C246926"/>
    <w:multiLevelType w:val="singleLevel"/>
    <w:tmpl w:val="7C246926"/>
    <w:lvl w:ilvl="0" w:tentative="0">
      <w:start w:val="2"/>
      <w:numFmt w:val="decimal"/>
      <w:lvlText w:val="%1."/>
      <w:lvlJc w:val="left"/>
      <w:rPr>
        <w:color w:val="3370FF"/>
      </w:rPr>
    </w:lvl>
  </w:abstractNum>
  <w:num w:numId="1">
    <w:abstractNumId w:val="12"/>
  </w:num>
  <w:num w:numId="2">
    <w:abstractNumId w:val="8"/>
  </w:num>
  <w:num w:numId="3">
    <w:abstractNumId w:val="22"/>
  </w:num>
  <w:num w:numId="4">
    <w:abstractNumId w:val="6"/>
  </w:num>
  <w:num w:numId="5">
    <w:abstractNumId w:val="4"/>
  </w:num>
  <w:num w:numId="6">
    <w:abstractNumId w:val="14"/>
  </w:num>
  <w:num w:numId="7">
    <w:abstractNumId w:val="17"/>
  </w:num>
  <w:num w:numId="8">
    <w:abstractNumId w:val="26"/>
  </w:num>
  <w:num w:numId="9">
    <w:abstractNumId w:val="13"/>
  </w:num>
  <w:num w:numId="10">
    <w:abstractNumId w:val="0"/>
  </w:num>
  <w:num w:numId="11">
    <w:abstractNumId w:val="18"/>
  </w:num>
  <w:num w:numId="12">
    <w:abstractNumId w:val="23"/>
  </w:num>
  <w:num w:numId="13">
    <w:abstractNumId w:val="7"/>
  </w:num>
  <w:num w:numId="14">
    <w:abstractNumId w:val="21"/>
  </w:num>
  <w:num w:numId="15">
    <w:abstractNumId w:val="11"/>
  </w:num>
  <w:num w:numId="16">
    <w:abstractNumId w:val="16"/>
  </w:num>
  <w:num w:numId="17">
    <w:abstractNumId w:val="10"/>
  </w:num>
  <w:num w:numId="18">
    <w:abstractNumId w:val="9"/>
  </w:num>
  <w:num w:numId="19">
    <w:abstractNumId w:val="2"/>
  </w:num>
  <w:num w:numId="20">
    <w:abstractNumId w:val="20"/>
  </w:num>
  <w:num w:numId="21">
    <w:abstractNumId w:val="24"/>
  </w:num>
  <w:num w:numId="22">
    <w:abstractNumId w:val="15"/>
  </w:num>
  <w:num w:numId="23">
    <w:abstractNumId w:val="19"/>
  </w:num>
  <w:num w:numId="24">
    <w:abstractNumId w:val="3"/>
  </w:num>
  <w:num w:numId="25">
    <w:abstractNumId w:val="28"/>
  </w:num>
  <w:num w:numId="26">
    <w:abstractNumId w:val="27"/>
  </w:num>
  <w:num w:numId="27">
    <w:abstractNumId w:val="5"/>
  </w:num>
  <w:num w:numId="28">
    <w:abstractNumId w:val="25"/>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49452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sz w:val="21"/>
      <w:szCs w:val="22"/>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1821</Words>
  <Characters>1887</Characters>
  <TotalTime>1</TotalTime>
  <ScaleCrop>false</ScaleCrop>
  <LinksUpToDate>false</LinksUpToDate>
  <CharactersWithSpaces>1895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2026-06-13T10:59:00Z</dcterms:created>
  <dc:creator>Apache POI</dc:creator>
  <cp:lastModifiedBy> </cp:lastModifiedBy>
  <dcterms:modified xsi:type="dcterms:W3CDTF">2026-06-13T11:01:06Z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{"Label":"1","ContentProducer":"001191110102MACQD9K64010000","ProduceID":"7650832931154234565","ReservedCode1":"","ContentPropagator":"","PropagateID":"","ReservedCode2":""}</vt:lpwstr>
  </property>
  <property fmtid="{D5CDD505-2E9C-101B-9397-08002B2CF9AE}" pid="3" name="KSOTemplateDocerSaveRecord">
    <vt:lpwstr>eyJoZGlkIjoiYTRkOTUzMmI3YWMyYjFjMDBiZTI1ZmRmZmYyYzkzZWUiLCJ1c2VySWQiOiI3OTQ1MzM5MjkifQ==</vt:lpwstr>
  </property>
  <property fmtid="{D5CDD505-2E9C-101B-9397-08002B2CF9AE}" pid="4" name="KSOProductBuildVer">
    <vt:lpwstr>2052-12.1.0.26895</vt:lpwstr>
  </property>
  <property fmtid="{D5CDD505-2E9C-101B-9397-08002B2CF9AE}" pid="5" name="ICV">
    <vt:lpwstr>B8354EF55BC340C9A9304D0C404CCAEC_12</vt:lpwstr>
  </property>
</Properties>
</file>