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center"/>
      </w:pPr>
      <w:r>
        <w:rPr>
          <w:rFonts w:eastAsia="等线" w:ascii="Arial" w:cs="Arial" w:hAnsi="Arial"/>
          <w:b w:val="true"/>
          <w:sz w:val="52"/>
        </w:rPr>
        <w:t>个人案例总结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一、项目背景与概述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"技术岗位薪酬预测与薪资区间识别"项目是一个典型的机器学习应用实践。我们基于25万条真实招聘数据，通过完整的数据挖掘流程，实现了技术岗位年薪的精准回归预测（XGBoost模型R²=0.9798）和四分类薪资区间识别（Logistic回归F1=0.9193）。项目成果可应用于企业招聘定薪、求职者薪资参考、高校就业指导等多个场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二、个人角色与核心职责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在本次小组项目中，我主要负责</w:t>
      </w:r>
      <w:r>
        <w:rPr>
          <w:rFonts w:eastAsia="等线" w:ascii="Arial" w:cs="Arial" w:hAnsi="Arial"/>
          <w:b w:val="true"/>
          <w:sz w:val="22"/>
        </w:rPr>
        <w:t>PPT制作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项目汇报</w:t>
      </w:r>
      <w:r>
        <w:rPr>
          <w:rFonts w:eastAsia="等线" w:ascii="Arial" w:cs="Arial" w:hAnsi="Arial"/>
          <w:sz w:val="22"/>
        </w:rPr>
        <w:t>两项核心工作，是连接项目技术成果与受众理解的关键桥梁。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作为项目的视觉设计师和信息架构师，全面负责汇报PPT的策划与制作：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整体视觉设计</w:t>
      </w:r>
      <w:r>
        <w:rPr>
          <w:rFonts w:eastAsia="等线" w:ascii="Arial" w:cs="Arial" w:hAnsi="Arial"/>
          <w:sz w:val="22"/>
        </w:rPr>
        <w:t>：确立专业、简洁、数据驱动的PPT风格，统一配色方案、字体规范和版式布局，确保整体视觉效果协调统一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信息架构设计</w:t>
      </w:r>
      <w:r>
        <w:rPr>
          <w:rFonts w:eastAsia="等线" w:ascii="Arial" w:cs="Arial" w:hAnsi="Arial"/>
          <w:sz w:val="22"/>
        </w:rPr>
        <w:t>：规划完整的汇报逻辑线，设计"背景→目标→数据→分析→建模→成果→应用→总结"的叙事结构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数据可视化呈现</w:t>
      </w:r>
      <w:r>
        <w:rPr>
          <w:rFonts w:eastAsia="等线" w:ascii="Arial" w:cs="Arial" w:hAnsi="Arial"/>
          <w:sz w:val="22"/>
        </w:rPr>
        <w:t>：将17张数据分析图表转化为PPT中的专业可视化元素，确保数据图表清晰易读、重点突出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页面内容排版</w:t>
      </w:r>
      <w:r>
        <w:rPr>
          <w:rFonts w:eastAsia="等线" w:ascii="Arial" w:cs="Arial" w:hAnsi="Arial"/>
          <w:sz w:val="22"/>
        </w:rPr>
        <w:t>：完成全部汇报页面的内容组织与排版，包括封面、目录、过渡页、内容页、总结页的完整设计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动画与交互设计</w:t>
      </w:r>
      <w:r>
        <w:rPr>
          <w:rFonts w:eastAsia="等线" w:ascii="Arial" w:cs="Arial" w:hAnsi="Arial"/>
          <w:sz w:val="22"/>
        </w:rPr>
        <w:t>：合理运用页面动画和元素出现顺序，引导观众注意力，增强汇报的节奏感和表现力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作为项目的发言人，负责面向评委和观众的正式汇报：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汇报稿撰写</w:t>
      </w:r>
      <w:r>
        <w:rPr>
          <w:rFonts w:eastAsia="等线" w:ascii="Arial" w:cs="Arial" w:hAnsi="Arial"/>
          <w:sz w:val="22"/>
        </w:rPr>
        <w:t>：撰写详细的汇报演讲稿，将技术内容转化为流畅易懂的口头表达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演讲演练</w:t>
      </w:r>
      <w:r>
        <w:rPr>
          <w:rFonts w:eastAsia="等线" w:ascii="Arial" w:cs="Arial" w:hAnsi="Arial"/>
          <w:sz w:val="22"/>
        </w:rPr>
        <w:t>：进行多次预演，把控汇报节奏，确保在规定时间内完整呈现项目内容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现场呈现</w:t>
      </w:r>
      <w:r>
        <w:rPr>
          <w:rFonts w:eastAsia="等线" w:ascii="Arial" w:cs="Arial" w:hAnsi="Arial"/>
          <w:sz w:val="22"/>
        </w:rPr>
        <w:t>：正式汇报时清晰、自信、有条理地讲解项目，准确传递核心价值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问答准备</w:t>
      </w:r>
      <w:r>
        <w:rPr>
          <w:rFonts w:eastAsia="等线" w:ascii="Arial" w:cs="Arial" w:hAnsi="Arial"/>
          <w:sz w:val="22"/>
        </w:rPr>
        <w:t>：预判评委可能提出的问题，准备技术细节和项目亮点的应答方案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临场应变</w:t>
      </w:r>
      <w:r>
        <w:rPr>
          <w:rFonts w:eastAsia="等线" w:ascii="Arial" w:cs="Arial" w:hAnsi="Arial"/>
          <w:sz w:val="22"/>
        </w:rPr>
        <w:t>：在问答环节准确理解问题，清晰有条理地进行回应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三、PPT制作的关键工作成果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（一）PPT整体架构设计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精心设计了8大模块的完整汇报结构，确保逻辑清晰、层层递进：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95"/>
        <w:gridCol w:w="5685"/>
      </w:tblGrid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页面内容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开场导入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封面、目录、项目背景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问题定义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项目目标、业务价值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数据说明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数据集介绍、字段说明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探索分析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数据可视化、关键发现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模型构建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算法选择、训练过程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成果展示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模型评估、性能对比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应用价值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落地场景、未来展望</w:t>
            </w:r>
          </w:p>
        </w:tc>
      </w:tr>
      <w:tr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总结致谢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收获总结、致谢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（二）可视化设计亮点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模型性能对比可视化</w:t>
      </w:r>
      <w:r>
        <w:rPr>
          <w:rFonts w:eastAsia="等线" w:ascii="Arial" w:cs="Arial" w:hAnsi="Arial"/>
          <w:sz w:val="22"/>
        </w:rPr>
        <w:t>：将8种回归模型和5种分类模型的评估指标转化为直观的对比柱状图，XGBoost和Logistic回归的优势一目了然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特征重要性信息图</w:t>
      </w:r>
      <w:r>
        <w:rPr>
          <w:rFonts w:eastAsia="等线" w:ascii="Arial" w:cs="Arial" w:hAnsi="Arial"/>
          <w:sz w:val="22"/>
        </w:rPr>
        <w:t>：将影响薪资的四大核心因素（工作经验、地区、公司规模、学历）设计为信息卡片形式，重点突出，记忆点强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数据分布可视化</w:t>
      </w:r>
      <w:r>
        <w:rPr>
          <w:rFonts w:eastAsia="等线" w:ascii="Arial" w:cs="Arial" w:hAnsi="Arial"/>
          <w:sz w:val="22"/>
        </w:rPr>
        <w:t>：薪资分布直方图、箱线图、散点图等经过优化设计，既保留数据准确性又具备视觉美感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项目流程图</w:t>
      </w:r>
      <w:r>
        <w:rPr>
          <w:rFonts w:eastAsia="等线" w:ascii="Arial" w:cs="Arial" w:hAnsi="Arial"/>
          <w:sz w:val="22"/>
        </w:rPr>
        <w:t>：设计六阶段数据挖掘工作流程图，直观展示项目全貌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（三）汇报呈现技巧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一页一重点</w:t>
      </w:r>
      <w:r>
        <w:rPr>
          <w:rFonts w:eastAsia="等线" w:ascii="Arial" w:cs="Arial" w:hAnsi="Arial"/>
          <w:sz w:val="22"/>
        </w:rPr>
        <w:t>：遵循"每页一个核心信息"原则，避免信息过载，确保观众跟上思路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数据说话</w:t>
      </w:r>
      <w:r>
        <w:rPr>
          <w:rFonts w:eastAsia="等线" w:ascii="Arial" w:cs="Arial" w:hAnsi="Arial"/>
          <w:sz w:val="22"/>
        </w:rPr>
        <w:t>：关键指标（R²=0.9798、F1=0.9193）放大突出展示，用数据证明项目价值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视觉层次</w:t>
      </w:r>
      <w:r>
        <w:rPr>
          <w:rFonts w:eastAsia="等线" w:ascii="Arial" w:cs="Arial" w:hAnsi="Arial"/>
          <w:sz w:val="22"/>
        </w:rPr>
        <w:t>：通过字体大小、颜色对比、留白设计建立清晰的视觉层级，引导观众视线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专业配色</w:t>
      </w:r>
      <w:r>
        <w:rPr>
          <w:rFonts w:eastAsia="等线" w:ascii="Arial" w:cs="Arial" w:hAnsi="Arial"/>
          <w:sz w:val="22"/>
        </w:rPr>
        <w:t>：采用蓝紫色系专业配色方案，体现数据分析项目的科技感与专业性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四、项目汇报的实施与效果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（一）汇报准备过程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为确保汇报效果，进行了系统化的准备：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演讲稿打磨</w:t>
      </w:r>
      <w:r>
        <w:rPr>
          <w:rFonts w:eastAsia="等线" w:ascii="Arial" w:cs="Arial" w:hAnsi="Arial"/>
          <w:sz w:val="22"/>
        </w:rPr>
        <w:t>：确保语言精炼、表达准确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时间控制</w:t>
      </w:r>
      <w:r>
        <w:rPr>
          <w:rFonts w:eastAsia="等线" w:ascii="Arial" w:cs="Arial" w:hAnsi="Arial"/>
          <w:sz w:val="22"/>
        </w:rPr>
        <w:t>：严格把控各部分时间分配，确保整体汇报在规定时长内完成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模拟演练</w:t>
      </w:r>
      <w:r>
        <w:rPr>
          <w:rFonts w:eastAsia="等线" w:ascii="Arial" w:cs="Arial" w:hAnsi="Arial"/>
          <w:sz w:val="22"/>
        </w:rPr>
        <w:t>：进行多次全真模拟，邀请组员作为观众，收集反馈并持续优化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Q&amp;A准备</w:t>
      </w:r>
      <w:r>
        <w:rPr>
          <w:rFonts w:eastAsia="等线" w:ascii="Arial" w:cs="Arial" w:hAnsi="Arial"/>
          <w:sz w:val="22"/>
        </w:rPr>
        <w:t>：整理20+个可能的问题及标准答案，覆盖技术细节、方法论、应用价值等方面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（二）现场汇报表现</w:t>
      </w:r>
      <w:bookmarkEnd w:id="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开场引入</w:t>
      </w:r>
      <w:r>
        <w:rPr>
          <w:rFonts w:eastAsia="等线" w:ascii="Arial" w:cs="Arial" w:hAnsi="Arial"/>
          <w:sz w:val="22"/>
        </w:rPr>
        <w:t>：以就业市场薪资痛点切入，快速建立共鸣，引出项目意义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逻辑清晰</w:t>
      </w:r>
      <w:r>
        <w:rPr>
          <w:rFonts w:eastAsia="等线" w:ascii="Arial" w:cs="Arial" w:hAnsi="Arial"/>
          <w:sz w:val="22"/>
        </w:rPr>
        <w:t>：按照预设的叙事线层层推进，每个部分之间自然过渡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重点突出</w:t>
      </w:r>
      <w:r>
        <w:rPr>
          <w:rFonts w:eastAsia="等线" w:ascii="Arial" w:cs="Arial" w:hAnsi="Arial"/>
          <w:sz w:val="22"/>
        </w:rPr>
        <w:t>：对模型性能、核心发现、应用价值等关键内容重点强调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互动良好</w:t>
      </w:r>
      <w:r>
        <w:rPr>
          <w:rFonts w:eastAsia="等线" w:ascii="Arial" w:cs="Arial" w:hAnsi="Arial"/>
          <w:sz w:val="22"/>
        </w:rPr>
        <w:t>：与评委和观众保持眼神交流，展现自信与专业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问答环节</w:t>
      </w:r>
      <w:r>
        <w:rPr>
          <w:rFonts w:eastAsia="等线" w:ascii="Arial" w:cs="Arial" w:hAnsi="Arial"/>
          <w:sz w:val="22"/>
        </w:rPr>
        <w:t>：准确理解问题，结合项目实际有条理地回应，展现对项目的深入理解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五、个人收获与能力提升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（一）认知与思维成长</w:t>
      </w:r>
      <w:bookmarkEnd w:id="10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受众思维的建立</w:t>
      </w:r>
      <w:r>
        <w:rPr>
          <w:rFonts w:eastAsia="等线" w:ascii="Arial" w:cs="Arial" w:hAnsi="Arial"/>
          <w:sz w:val="22"/>
        </w:rPr>
        <w:t>：深刻理解了"技术是手段，沟通是关键"。好的项目不仅要做得好，更要讲得好。站在受众角度思考他们关心什么、能理解什么，是有效沟通的核心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细节决定成败</w:t>
      </w:r>
      <w:r>
        <w:rPr>
          <w:rFonts w:eastAsia="等线" w:ascii="Arial" w:cs="Arial" w:hAnsi="Arial"/>
          <w:sz w:val="22"/>
        </w:rPr>
        <w:t>：PPT的每一个配色、每一个字体、每一页的布局，汇报的每一个停顿、每一个眼神，都会影响最终效果。专业体现在对细节的极致追求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故事化表达的力量</w:t>
      </w:r>
      <w:r>
        <w:rPr>
          <w:rFonts w:eastAsia="等线" w:ascii="Arial" w:cs="Arial" w:hAnsi="Arial"/>
          <w:sz w:val="22"/>
        </w:rPr>
        <w:t>：单纯的数据和技术是枯燥的，但将其组织成一个有背景、有挑战、有方法、有成果、有价值的完整故事，就能打动听众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团队协作的价值</w:t>
      </w:r>
      <w:r>
        <w:rPr>
          <w:rFonts w:eastAsia="等线" w:ascii="Arial" w:cs="Arial" w:hAnsi="Arial"/>
          <w:sz w:val="22"/>
        </w:rPr>
        <w:t>：PPT制作和汇报不是孤立工作，需要准确理解每个组员的技术贡献，将其有机整合。这锻炼了我快速学习和整合信息的能力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（二）团队协作经验</w:t>
      </w:r>
      <w:bookmarkEnd w:id="11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学会了如何与技术人员高效沟通，准确理解技术细节并转化为可视化表达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掌握了在团队中发挥"翻译官"角色——将技术语言转化为大众易懂的语言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理解了项目成功是各角色协同的结果，技术实现与呈现表达缺一不可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六、总结与未来展望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通过本次项目中PPT制作与汇报工作的历练，我深刻认识到：在数据科学项目中，</w:t>
      </w:r>
      <w:r>
        <w:rPr>
          <w:rFonts w:eastAsia="等线" w:ascii="Arial" w:cs="Arial" w:hAnsi="Arial"/>
          <w:b w:val="true"/>
          <w:sz w:val="22"/>
        </w:rPr>
        <w:t>技术实现是基础，有效呈现是关键</w:t>
      </w:r>
      <w:r>
        <w:rPr>
          <w:rFonts w:eastAsia="等线" w:ascii="Arial" w:cs="Arial" w:hAnsi="Arial"/>
          <w:sz w:val="22"/>
        </w:rPr>
        <w:t>。一个项目的价值，不仅在于算法有多先进、指标有多高，更在于能否被人理解、能否产生实际影响。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项目的"门面"，PPT制作和汇报工作让我站在全局视角理解了整个项目，也锻炼了可视化设计、逻辑表达、公众演讲等多方面的综合能力。这些能力不仅适用于课程项目，更是未来职场中不可或缺的核心竞争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未来我将继续精进数据可视化与演讲表达能力，努力成为既懂技术又懂沟通的复合型人才，在团队中发挥更大的价值。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3633">
    <w:lvl>
      <w:numFmt w:val="bullet"/>
      <w:suff w:val="tab"/>
      <w:lvlText w:val="•"/>
      <w:rPr>
        <w:color w:val="3370ff"/>
      </w:rPr>
    </w:lvl>
  </w:abstractNum>
  <w:abstractNum w:abstractNumId="273634">
    <w:lvl>
      <w:numFmt w:val="bullet"/>
      <w:suff w:val="tab"/>
      <w:lvlText w:val="•"/>
      <w:rPr>
        <w:color w:val="3370ff"/>
      </w:rPr>
    </w:lvl>
  </w:abstractNum>
  <w:abstractNum w:abstractNumId="273635">
    <w:lvl>
      <w:numFmt w:val="bullet"/>
      <w:suff w:val="tab"/>
      <w:lvlText w:val="•"/>
      <w:rPr>
        <w:color w:val="3370ff"/>
      </w:rPr>
    </w:lvl>
  </w:abstractNum>
  <w:abstractNum w:abstractNumId="273636">
    <w:lvl>
      <w:numFmt w:val="bullet"/>
      <w:suff w:val="tab"/>
      <w:lvlText w:val="•"/>
      <w:rPr>
        <w:color w:val="3370ff"/>
      </w:rPr>
    </w:lvl>
  </w:abstractNum>
  <w:abstractNum w:abstractNumId="273637">
    <w:lvl>
      <w:numFmt w:val="bullet"/>
      <w:suff w:val="tab"/>
      <w:lvlText w:val="•"/>
      <w:rPr>
        <w:color w:val="3370ff"/>
      </w:rPr>
    </w:lvl>
  </w:abstractNum>
  <w:abstractNum w:abstractNumId="273638">
    <w:lvl>
      <w:numFmt w:val="bullet"/>
      <w:suff w:val="tab"/>
      <w:lvlText w:val="•"/>
      <w:rPr>
        <w:color w:val="3370ff"/>
      </w:rPr>
    </w:lvl>
  </w:abstractNum>
  <w:abstractNum w:abstractNumId="273639">
    <w:lvl>
      <w:numFmt w:val="bullet"/>
      <w:suff w:val="tab"/>
      <w:lvlText w:val="•"/>
      <w:rPr>
        <w:color w:val="3370ff"/>
      </w:rPr>
    </w:lvl>
  </w:abstractNum>
  <w:abstractNum w:abstractNumId="273640">
    <w:lvl>
      <w:numFmt w:val="bullet"/>
      <w:suff w:val="tab"/>
      <w:lvlText w:val="•"/>
      <w:rPr>
        <w:color w:val="3370ff"/>
      </w:rPr>
    </w:lvl>
  </w:abstractNum>
  <w:abstractNum w:abstractNumId="273641">
    <w:lvl>
      <w:numFmt w:val="bullet"/>
      <w:suff w:val="tab"/>
      <w:lvlText w:val="•"/>
      <w:rPr>
        <w:color w:val="3370ff"/>
      </w:rPr>
    </w:lvl>
  </w:abstractNum>
  <w:abstractNum w:abstractNumId="273642">
    <w:lvl>
      <w:numFmt w:val="bullet"/>
      <w:suff w:val="tab"/>
      <w:lvlText w:val="•"/>
      <w:rPr>
        <w:color w:val="3370ff"/>
      </w:rPr>
    </w:lvl>
  </w:abstractNum>
  <w:abstractNum w:abstractNumId="273643">
    <w:lvl>
      <w:start w:val="1"/>
      <w:numFmt w:val="decimal"/>
      <w:suff w:val="tab"/>
      <w:lvlText w:val="%1."/>
      <w:rPr>
        <w:color w:val="3370ff"/>
      </w:rPr>
    </w:lvl>
  </w:abstractNum>
  <w:abstractNum w:abstractNumId="273644">
    <w:lvl>
      <w:start w:val="2"/>
      <w:numFmt w:val="decimal"/>
      <w:suff w:val="tab"/>
      <w:lvlText w:val="%1."/>
      <w:rPr>
        <w:color w:val="3370ff"/>
      </w:rPr>
    </w:lvl>
  </w:abstractNum>
  <w:abstractNum w:abstractNumId="273645">
    <w:lvl>
      <w:start w:val="3"/>
      <w:numFmt w:val="decimal"/>
      <w:suff w:val="tab"/>
      <w:lvlText w:val="%1."/>
      <w:rPr>
        <w:color w:val="3370ff"/>
      </w:rPr>
    </w:lvl>
  </w:abstractNum>
  <w:abstractNum w:abstractNumId="273646">
    <w:lvl>
      <w:start w:val="4"/>
      <w:numFmt w:val="decimal"/>
      <w:suff w:val="tab"/>
      <w:lvlText w:val="%1."/>
      <w:rPr>
        <w:color w:val="3370ff"/>
      </w:rPr>
    </w:lvl>
  </w:abstractNum>
  <w:abstractNum w:abstractNumId="273647">
    <w:lvl>
      <w:numFmt w:val="bullet"/>
      <w:suff w:val="tab"/>
      <w:lvlText w:val="•"/>
      <w:rPr>
        <w:color w:val="3370ff"/>
      </w:rPr>
    </w:lvl>
  </w:abstractNum>
  <w:abstractNum w:abstractNumId="273648">
    <w:lvl>
      <w:numFmt w:val="bullet"/>
      <w:suff w:val="tab"/>
      <w:lvlText w:val="•"/>
      <w:rPr>
        <w:color w:val="3370ff"/>
      </w:rPr>
    </w:lvl>
  </w:abstractNum>
  <w:abstractNum w:abstractNumId="273649">
    <w:lvl>
      <w:numFmt w:val="bullet"/>
      <w:suff w:val="tab"/>
      <w:lvlText w:val="•"/>
      <w:rPr>
        <w:color w:val="3370ff"/>
      </w:rPr>
    </w:lvl>
  </w:abstractNum>
  <w:abstractNum w:abstractNumId="273650">
    <w:lvl>
      <w:numFmt w:val="bullet"/>
      <w:suff w:val="tab"/>
      <w:lvlText w:val="•"/>
      <w:rPr>
        <w:color w:val="3370ff"/>
      </w:rPr>
    </w:lvl>
  </w:abstractNum>
  <w:abstractNum w:abstractNumId="273651">
    <w:lvl>
      <w:numFmt w:val="bullet"/>
      <w:suff w:val="tab"/>
      <w:lvlText w:val="•"/>
      <w:rPr>
        <w:color w:val="3370ff"/>
      </w:rPr>
    </w:lvl>
  </w:abstractNum>
  <w:abstractNum w:abstractNumId="273652">
    <w:lvl>
      <w:numFmt w:val="bullet"/>
      <w:suff w:val="tab"/>
      <w:lvlText w:val="•"/>
      <w:rPr>
        <w:color w:val="3370ff"/>
      </w:rPr>
    </w:lvl>
  </w:abstractNum>
  <w:abstractNum w:abstractNumId="273653">
    <w:lvl>
      <w:numFmt w:val="bullet"/>
      <w:suff w:val="tab"/>
      <w:lvlText w:val="•"/>
      <w:rPr>
        <w:color w:val="3370ff"/>
      </w:rPr>
    </w:lvl>
  </w:abstractNum>
  <w:abstractNum w:abstractNumId="273654">
    <w:lvl>
      <w:numFmt w:val="bullet"/>
      <w:suff w:val="tab"/>
      <w:lvlText w:val="•"/>
      <w:rPr>
        <w:color w:val="3370ff"/>
      </w:rPr>
    </w:lvl>
  </w:abstractNum>
  <w:abstractNum w:abstractNumId="273655">
    <w:lvl>
      <w:start w:val="1"/>
      <w:numFmt w:val="decimal"/>
      <w:suff w:val="tab"/>
      <w:lvlText w:val="%1."/>
      <w:rPr>
        <w:color w:val="3370ff"/>
      </w:rPr>
    </w:lvl>
  </w:abstractNum>
  <w:abstractNum w:abstractNumId="273656">
    <w:lvl>
      <w:start w:val="2"/>
      <w:numFmt w:val="decimal"/>
      <w:suff w:val="tab"/>
      <w:lvlText w:val="%1."/>
      <w:rPr>
        <w:color w:val="3370ff"/>
      </w:rPr>
    </w:lvl>
  </w:abstractNum>
  <w:abstractNum w:abstractNumId="273657">
    <w:lvl>
      <w:start w:val="3"/>
      <w:numFmt w:val="decimal"/>
      <w:suff w:val="tab"/>
      <w:lvlText w:val="%1."/>
      <w:rPr>
        <w:color w:val="3370ff"/>
      </w:rPr>
    </w:lvl>
  </w:abstractNum>
  <w:abstractNum w:abstractNumId="273658">
    <w:lvl>
      <w:start w:val="4"/>
      <w:numFmt w:val="decimal"/>
      <w:suff w:val="tab"/>
      <w:lvlText w:val="%1."/>
      <w:rPr>
        <w:color w:val="3370ff"/>
      </w:rPr>
    </w:lvl>
  </w:abstractNum>
  <w:abstractNum w:abstractNumId="273659">
    <w:lvl>
      <w:start w:val="5"/>
      <w:numFmt w:val="decimal"/>
      <w:suff w:val="tab"/>
      <w:lvlText w:val="%1."/>
      <w:rPr>
        <w:color w:val="3370ff"/>
      </w:rPr>
    </w:lvl>
  </w:abstractNum>
  <w:abstractNum w:abstractNumId="273660">
    <w:lvl>
      <w:start w:val="1"/>
      <w:numFmt w:val="decimal"/>
      <w:suff w:val="tab"/>
      <w:lvlText w:val="%1."/>
      <w:rPr>
        <w:color w:val="3370ff"/>
      </w:rPr>
    </w:lvl>
  </w:abstractNum>
  <w:abstractNum w:abstractNumId="273661">
    <w:lvl>
      <w:start w:val="2"/>
      <w:numFmt w:val="decimal"/>
      <w:suff w:val="tab"/>
      <w:lvlText w:val="%1."/>
      <w:rPr>
        <w:color w:val="3370ff"/>
      </w:rPr>
    </w:lvl>
  </w:abstractNum>
  <w:abstractNum w:abstractNumId="273662">
    <w:lvl>
      <w:start w:val="3"/>
      <w:numFmt w:val="decimal"/>
      <w:suff w:val="tab"/>
      <w:lvlText w:val="%1."/>
      <w:rPr>
        <w:color w:val="3370ff"/>
      </w:rPr>
    </w:lvl>
  </w:abstractNum>
  <w:abstractNum w:abstractNumId="273663">
    <w:lvl>
      <w:start w:val="4"/>
      <w:numFmt w:val="decimal"/>
      <w:suff w:val="tab"/>
      <w:lvlText w:val="%1."/>
      <w:rPr>
        <w:color w:val="3370ff"/>
      </w:rPr>
    </w:lvl>
  </w:abstractNum>
  <w:abstractNum w:abstractNumId="273664">
    <w:lvl>
      <w:numFmt w:val="bullet"/>
      <w:suff w:val="tab"/>
      <w:lvlText w:val="•"/>
      <w:rPr>
        <w:color w:val="3370ff"/>
      </w:rPr>
    </w:lvl>
  </w:abstractNum>
  <w:abstractNum w:abstractNumId="273665">
    <w:lvl>
      <w:numFmt w:val="bullet"/>
      <w:suff w:val="tab"/>
      <w:lvlText w:val="•"/>
      <w:rPr>
        <w:color w:val="3370ff"/>
      </w:rPr>
    </w:lvl>
  </w:abstractNum>
  <w:abstractNum w:abstractNumId="273666">
    <w:lvl>
      <w:numFmt w:val="bullet"/>
      <w:suff w:val="tab"/>
      <w:lvlText w:val="•"/>
      <w:rPr>
        <w:color w:val="3370ff"/>
      </w:rPr>
    </w:lvl>
  </w:abstractNum>
  <w:num w:numId="1">
    <w:abstractNumId w:val="273633"/>
  </w:num>
  <w:num w:numId="2">
    <w:abstractNumId w:val="273634"/>
  </w:num>
  <w:num w:numId="3">
    <w:abstractNumId w:val="273635"/>
  </w:num>
  <w:num w:numId="4">
    <w:abstractNumId w:val="273636"/>
  </w:num>
  <w:num w:numId="5">
    <w:abstractNumId w:val="273637"/>
  </w:num>
  <w:num w:numId="6">
    <w:abstractNumId w:val="273638"/>
  </w:num>
  <w:num w:numId="7">
    <w:abstractNumId w:val="273639"/>
  </w:num>
  <w:num w:numId="8">
    <w:abstractNumId w:val="273640"/>
  </w:num>
  <w:num w:numId="9">
    <w:abstractNumId w:val="273641"/>
  </w:num>
  <w:num w:numId="10">
    <w:abstractNumId w:val="273642"/>
  </w:num>
  <w:num w:numId="11">
    <w:abstractNumId w:val="273643"/>
  </w:num>
  <w:num w:numId="12">
    <w:abstractNumId w:val="273644"/>
  </w:num>
  <w:num w:numId="13">
    <w:abstractNumId w:val="273645"/>
  </w:num>
  <w:num w:numId="14">
    <w:abstractNumId w:val="273646"/>
  </w:num>
  <w:num w:numId="15">
    <w:abstractNumId w:val="273647"/>
  </w:num>
  <w:num w:numId="16">
    <w:abstractNumId w:val="273648"/>
  </w:num>
  <w:num w:numId="17">
    <w:abstractNumId w:val="273649"/>
  </w:num>
  <w:num w:numId="18">
    <w:abstractNumId w:val="273650"/>
  </w:num>
  <w:num w:numId="19">
    <w:abstractNumId w:val="273651"/>
  </w:num>
  <w:num w:numId="20">
    <w:abstractNumId w:val="273652"/>
  </w:num>
  <w:num w:numId="21">
    <w:abstractNumId w:val="273653"/>
  </w:num>
  <w:num w:numId="22">
    <w:abstractNumId w:val="273654"/>
  </w:num>
  <w:num w:numId="23">
    <w:abstractNumId w:val="273655"/>
  </w:num>
  <w:num w:numId="24">
    <w:abstractNumId w:val="273656"/>
  </w:num>
  <w:num w:numId="25">
    <w:abstractNumId w:val="273657"/>
  </w:num>
  <w:num w:numId="26">
    <w:abstractNumId w:val="273658"/>
  </w:num>
  <w:num w:numId="27">
    <w:abstractNumId w:val="273659"/>
  </w:num>
  <w:num w:numId="28">
    <w:abstractNumId w:val="273660"/>
  </w:num>
  <w:num w:numId="29">
    <w:abstractNumId w:val="273661"/>
  </w:num>
  <w:num w:numId="30">
    <w:abstractNumId w:val="273662"/>
  </w:num>
  <w:num w:numId="31">
    <w:abstractNumId w:val="273663"/>
  </w:num>
  <w:num w:numId="32">
    <w:abstractNumId w:val="273664"/>
  </w:num>
  <w:num w:numId="33">
    <w:abstractNumId w:val="273665"/>
  </w:num>
  <w:num w:numId="34">
    <w:abstractNumId w:val="2736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2026-06-13T11:54:24Z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{"Label":"1","ContentProducer":"001191110102MACQD9K64010000","ProduceID":"7650847071603674306","ReservedCode1":"","ContentPropagator":"","PropagateID":"","ReservedCode2":""}</vt:lpwstr>
  </property>
</Properties>
</file>