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陈醋</w:t>
              <w:br/>
            </w:r>
            <w:r>
              <w:rPr>
                <w:sz w:val="16"/>
              </w:rPr>
              <w:t>الاسم: خل</w:t>
              <w:br/>
            </w:r>
            <w:r>
              <w:rPr>
                <w:sz w:val="16"/>
              </w:rPr>
              <w:t>المكونات: نخالة القمح، الأرز الغلوتين، المياه، السكر، ملح</w:t>
              <w:br/>
            </w:r>
            <w:r>
              <w:rPr>
                <w:sz w:val="16"/>
              </w:rPr>
              <w:t>حجم الحصة: 500 ملليلتر</w:t>
              <w:br/>
            </w:r>
            <w:r>
              <w:rPr>
                <w:sz w:val="16"/>
              </w:rPr>
              <w:t xml:space="preserve">تاريخ الإنتاج: 2017/04/27 </w:t>
              <w:br/>
            </w:r>
            <w:r>
              <w:rPr>
                <w:sz w:val="16"/>
              </w:rPr>
              <w:t xml:space="preserve">تاريخ انتهاء الصلاحية: 2019/04/27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