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模型测试策略与测试设计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模型健康场景测试策略与测试设计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测试背景与目标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PHA（Personal Health Agent）集成 Vision-Language 模型，支持用户通过上传健康截图（手表/手机 UI）、食物照片、运动器材屏幕照片等，获得 AI 健康分析与记录服务。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测试目标：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评估 VL 模型在健康场景下的图像理解、数值读取、工具调用能力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对比多模型在同一评测集上的表现差异，选出最优模型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通过消融实验量化「页面描述」「健康知识」对模型表现的增益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发现模型边界能力（上下文长度退化、多轮对话鲁棒性）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测试范围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被测模型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实验一：11 模型横向对比（vl-eval）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实验二：5 模型 x 4 条件消融（vl-onapp-eval）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端口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8014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测试场景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覆盖 PHA 健康助手的全部图像交互场景：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场景类别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页面数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sleepScore, nightSleep, sleepApnea, sleepGanttChart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continueHeart, silenceHeart, HRV, exerciseHeart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exercisePage, trainingLoad, trainCondit, recovery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spo2Today, spo2Complete, sleepSpo2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心律失常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arrhythmiaStatistics, sevenDayArrhythmia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综合健康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healthSummary, domainCard, indexCard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饮食识别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食物照片识别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运动器材屏幕识别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测试图片集： 43 张真实华为手表/手机健康 UI 截图 + 用户场景照片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测试策略：分层递进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Layer 1: 消息格式矩阵测试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验证 VL 模型对多轮对话中不同消息格式组合的鲁棒性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scripts/vl-matrix-test.py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控制变量设计（7 种场景）：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assistant.content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tool_calls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基线：单轮图片理解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多轮：正常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 (空串)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边界：空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正常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空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null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边界：null content（vLLM 兼容性）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对照：纯对话无工具调用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判定标准： 响应非空 + tokens &gt; 0 -&gt; OK；否则 FAIL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Layer 2: 上下文长度退化测试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量化 system prompt 长度对 VL 模型工具调用准确率的影响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scripts/test-vl-context-length.sh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6 级递进设计：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system 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~500B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接近基线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轻微退化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PHA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可能退化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~8KB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~20KB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+ 2 个 skill 全文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评判维度（每级）：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耗时（elapsed_ms）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Token 用量（prompt / completion / total）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工具调用正确性：CORRECT / WRONG_ARGS / HALLUCINATED_TOOL / TEXT_REPLY / EMPTY / WRONG_TOOL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Layer 3: 11 模型全链路对比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通过 PHA Gateway 全链路（SOUL.md + Skill Registry + MCP Tools + VL 模型），公平对比 11 个模型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vl-eval/run_multi_eval.py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公平性保证：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所有模型均通过同一 PHA Gateway 实例评测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每个模型：更新 config.json -&gt; 重启 PHA -&gt; 运行全部 case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 worker 并发，断点续传，僵尸检测自动补跑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per-case 3 次重试，失败记录到 FAILED_CASES.json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评测维度（7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评分方式： LLM-as-Judge（Claude Sonnet 4.6 作为裁判模型）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输出产物：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per-model 雷达图 + 热力图（11 x 2 = 22 张）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 张对比图：grouped_bar / radar_overlay / model_heatmap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summary.docx + detail.docx（Word 报告）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81225"/>
            <wp:effectExtent t="0" r="0" b="0" l="0"/>
            <wp:docPr id="1" name="vl_grouped_bar.png" descr="11模型对比柱状图" title="11模型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11模型对比柱状图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029075"/>
            <wp:effectExtent t="0" r="0" b="0" l="0"/>
            <wp:docPr id="1" name="vl_radar_overlay.png" descr="雷达图叠加" title="雷达图叠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雷达图叠加</w:t>
      </w:r>
    </w:p>
    <w:p>
      <w:pPr>
        <w:spacing w:after="40" w:before="120"/>
        <w:jc w:val="center"/>
      </w:pPr>
      <w:r>
        <w:drawing>
          <wp:inline distT="0" distB="0" distL="0" distR="0">
            <wp:extent cx="5010150" cy="4762500"/>
            <wp:effectExtent t="0" r="0" b="0" l="0"/>
            <wp:docPr id="1" name="vl_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Layer 4: 5 模型 x 4 条件消融实验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量化「页面描述注入」和「健康知识注入」对模型表现的增益效果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vl-onapp-eval/run_onapp_eval.py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消融条件设计（2x2 因子实验）：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description.json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knowledge.json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实验规模： 5 模型 x 4 条件 x 48 case = 960 次评测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评测维度（12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图像元素的正确识别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杜绝编造数据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数字准确度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工具-&gt;回复顺序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不越界诊断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引用可溯源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端侧数据优先性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 优先于 cloud_data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工具调用时机准确性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异常时是否主动调云侧工具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工具调用结果整合度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工具结果是否融入回复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用户问题是否完整回答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图像与上下文一致性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回复与图片内容是否一致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运行架构：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5 个 PHA 实例并行（端口 8010-8014），每实例绑定一个模型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条件串行、case 串行，每 case 前清空 session 防止上下文污染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 + 僵尸检测 + 失败重试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67050"/>
            <wp:effectExtent t="0" r="0" b="0" l="0"/>
            <wp:docPr id="1" name="onapp_ablation_delta.png" descr="消融增益对比" title="消融增益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消融增益对比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90725"/>
            <wp:effectExtent t="0" r="0" b="0" l="0"/>
            <wp:docPr id="1" name="onapp_heatmap_dims.png" descr="维度热力图" title="维度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维度热力图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3.5 Layer 5: DOC vs RAW 数据格式对比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对比「结构化中文语义数据」vs「SDK 原始 JSON 数据」对模型理解的影响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tests/vl-eval/scripts/run_doc_vs_raw.py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实验设计：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同一图片，分别注入 DOC（处理后中文 terminal_data）和 RAW（SDK 原始 JSON）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两个 PHA 实例并行（DOC 端口 8004 / RAW 端口 8008），消除时序干扰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9 维评分 + 5 张可视化图表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9 维评分体系：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数值准确性、异常识别、单位换算、幻觉控制、视觉-数据融合、数据引用质量、任务完成度、回答可读性、工具调用合理性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测试数据构建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数据来源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规模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测试图片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真实华为手表/手机 UI 截图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43 张 PNG/JPG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真实用户场景 query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条（demotest.xlsx）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 SDK 原始数据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 case 一份 JSON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description.json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40+ 页面的界面元素描述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人工标注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keyword_dict.json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页面-&gt;健康概念映射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50+ 映射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knowledge.json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健康医学知识库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覆盖睡眠/心率/血氧/运动等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数据质量控制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场景覆盖性： 覆盖 PHA 全部 8 大健康场景类别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难度梯度： 包含正常数据 + 异常数据（如血氧 80%、心率 120bpm、AHI 中度异常）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边界样本： 包含多指标异常（多种异常同时出现的复杂 case）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对抗样本： 包含非目标图片（如用户上传非健康相关图片）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评分标准文档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SHARP 3.0 评分体系（20 子项） 用于 PHA 全链路质量评估：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大类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子项数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示例维度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Safety（安全）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风险披露、医学边界、有害内容、能力边界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Accuracy（准确）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科学事实、计算准确、逻辑一致、数据引用、性别一致、品牌合规、参考标准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Usefulness（有用）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全面性、专业性、可操作性、表达质量、共情语气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Relevance（相关）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主题聚焦、领域边界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Personalization（个性化）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个性化质量、受众识别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自动化评测流水线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638175"/>
            <wp:effectExtent t="0" r="0" b="0" l="0"/>
            <wp:docPr id="1" name="m_pipeline.png" descr="m_pipeline.png" title="m_pip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关键工程特性：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断点续传：每 case 完成后写 JSON，中断后自动跳过已完成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僵尸检测：response 超 5000 字且重复率 &gt; 3 -&gt; 标记 token_loop 自动重跑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并行执行：多模型并行（每模型独立端口），case 内串行保证隔离</w:t>
      </w:r>
    </w:p>
    <w:p>
      <w:pPr>
        <w:pStyle w:val="ListParagraph"/>
        <w:numPr>
          <w:ilvl w:val="0"/>
          <w:numId w:val="2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失败追踪：FAILED_CASES.json 记录所有失败的 model x condition x case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Skill 迭代调试平台（多维度测试延伸）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模型评测聚焦「模型能力」维度，而 PHA 的 AI 质量还依赖于 Skill（专家知识/评估框架） 的准确性。为此搭建了 Skill Debug Workbench，将测试维度从「模型评测」延伸到「Skill 迭代验证」。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Workbench 架构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733425"/>
            <wp:effectExtent t="0" r="0" b="0" l="0"/>
            <wp:docPr id="1" name="m_workbench.png" descr="m_workbench.png" title="m_workbe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3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左栏：健康测试数据选择与展示（血糖、睡眠、心率等真实数据）</w:t>
      </w:r>
    </w:p>
    <w:p>
      <w:pPr>
        <w:pStyle w:val="ListParagraph"/>
        <w:numPr>
          <w:ilvl w:val="0"/>
          <w:numId w:val="3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中栏：Skill/Prompt 在线编辑器，支持保存/回退/版本快照/dirty 追踪</w:t>
      </w:r>
    </w:p>
    <w:p>
      <w:pPr>
        <w:pStyle w:val="ListParagraph"/>
        <w:numPr>
          <w:ilvl w:val="0"/>
          <w:numId w:val="3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右栏：LLM 解读结果，支持最多 3 组并发结果卡片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核心调试能力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测试价值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模型间差异对比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 Skill 修改的影响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加速 Skill 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确保可回溯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版本管理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与 VL 评测的互补关系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VL 模型评测 (vl-eval)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Skill 调试平台 (skillfix)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测试对象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专家知识准确性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测试方法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 Skill + 多模型对比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固定模型 + 多 Skill 变体对比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图片理解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血糖/睡眠/心率等健康解读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评分方式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LLM-as-Judge 12 维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语义分析 + 人工审查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优化产出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模型选型建议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内容迭代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闭环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 -&gt; 评分 -&gt; 报告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 -&gt; Diff -&gt; 验证 -&gt; 保存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6.4 HMAC 认证集成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平台接入内部自建模型端点（HMAC 签名认证），支持对内部部署模型的直接调试，无需依赖外部 API：</w:t>
      </w:r>
    </w:p>
    <w:p>
      <w:pPr>
        <w:pStyle w:val="ListParagraph"/>
        <w:numPr>
          <w:ilvl w:val="0"/>
          <w:numId w:val="3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3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3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6.5 工程优化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测试工具清单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工具/脚本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位置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 场景消息格式矩阵测试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test-vl-capability.sh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能力综合测试套件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test-vl-context-length.sh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上下文长度退化测试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run_multi_eval.py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模型全链路对比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run_onapp_eval.py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5x4 消融实验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对比实验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batch_score.py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批量评分工具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score_doc_vs_raw.py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评分导入/导出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多模型对比报告生成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report_doc_vs_raw.py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5 图生成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generate_report_onapp.py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消融实验报告生成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check_anomalies.py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检测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模型测试策略与测试设计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2acaf5e394185670936177aae6af3489ececa362.png"/><Relationship Id="rId13" Type="http://schemas.openxmlformats.org/officeDocument/2006/relationships/image" Target="media/c541b995878df5b9c06253f17f5e72cb87fc53cd.png"/><Relationship Id="rId14" Type="http://schemas.openxmlformats.org/officeDocument/2006/relationships/image" Target="media/131aceba9b38fd2bac3b5ccf8c48c8889348d58f.png"/><Relationship Id="rId15" Type="http://schemas.openxmlformats.org/officeDocument/2006/relationships/image" Target="media/706442f5848253ccf46a97b4cb40617c2a29b6a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2026-03-30T11:55:05.971Z</dcterms:created>
  <dcterms:modified xsi:type="dcterms:W3CDTF">2026-03-30T11:55:05.971Z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