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 VL 评测报告 v3</w:t>
      </w:r>
    </w:p>
    <w:p>
      <w:r>
        <w:rPr>
          <w:rFonts w:ascii="Microsoft YaHei" w:hAnsi="Microsoft YaHei"/>
          <w:b w:val="0"/>
          <w:sz w:val="18"/>
        </w:rPr>
        <w:t>评测时间：2026-03-19 11:30 | 维度数：11 | 模型数：0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0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/>
          <w:color w:val="1A1A2E"/>
        </w:rPr>
        <w:t>综合排名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排名</w:t>
            </w:r>
          </w:p>
        </w:tc>
        <w:tc>
          <w:tcPr>
            <w:tcW w:type="dxa" w:w="665"/>
          </w:tcPr>
          <w:p>
            <w:r>
              <w:t>模型</w:t>
            </w:r>
          </w:p>
        </w:tc>
        <w:tc>
          <w:tcPr>
            <w:tcW w:type="dxa" w:w="665"/>
          </w:tcPr>
          <w:p>
            <w:r>
              <w:t>视觉识别准确率</w:t>
            </w:r>
          </w:p>
        </w:tc>
        <w:tc>
          <w:tcPr>
            <w:tcW w:type="dxa" w:w="665"/>
          </w:tcPr>
          <w:p>
            <w:r>
              <w:t>幻觉控制率</w:t>
            </w:r>
          </w:p>
        </w:tc>
        <w:tc>
          <w:tcPr>
            <w:tcW w:type="dxa" w:w="665"/>
          </w:tcPr>
          <w:p>
            <w:r>
              <w:t>数值读取精度</w:t>
            </w:r>
          </w:p>
        </w:tc>
        <w:tc>
          <w:tcPr>
            <w:tcW w:type="dxa" w:w="665"/>
          </w:tcPr>
          <w:p>
            <w:r>
              <w:t>输出时序合规</w:t>
            </w:r>
          </w:p>
        </w:tc>
        <w:tc>
          <w:tcPr>
            <w:tcW w:type="dxa" w:w="665"/>
          </w:tcPr>
          <w:p>
            <w:r>
              <w:t>安全声明合规</w:t>
            </w:r>
          </w:p>
        </w:tc>
        <w:tc>
          <w:tcPr>
            <w:tcW w:type="dxa" w:w="665"/>
          </w:tcPr>
          <w:p>
            <w:r>
              <w:t>边界克制合规</w:t>
            </w:r>
          </w:p>
        </w:tc>
        <w:tc>
          <w:tcPr>
            <w:tcW w:type="dxa" w:w="665"/>
          </w:tcPr>
          <w:p>
            <w:r>
              <w:t>数据引用质量</w:t>
            </w:r>
          </w:p>
        </w:tc>
        <w:tc>
          <w:tcPr>
            <w:tcW w:type="dxa" w:w="665"/>
          </w:tcPr>
          <w:p>
            <w:r>
              <w:t>工具调用合理性</w:t>
            </w:r>
          </w:p>
        </w:tc>
        <w:tc>
          <w:tcPr>
            <w:tcW w:type="dxa" w:w="665"/>
          </w:tcPr>
          <w:p>
            <w:r>
              <w:t>任务完成度</w:t>
            </w:r>
          </w:p>
        </w:tc>
        <w:tc>
          <w:tcPr>
            <w:tcW w:type="dxa" w:w="665"/>
          </w:tcPr>
          <w:p>
            <w:r>
              <w:t>图像与上下文一致性</w:t>
            </w:r>
          </w:p>
        </w:tc>
        <w:tc>
          <w:tcPr>
            <w:tcW w:type="dxa" w:w="665"/>
          </w:tcPr>
          <w:p>
            <w:r>
              <w:t>主动澄清行为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A1A2E"/>
        </w:rPr>
        <w:t>综合分析</w:t>
      </w:r>
    </w:p>
    <w:p>
      <w:r>
        <w:rPr>
          <w:rFonts w:ascii="Microsoft YaHei" w:hAnsi="Microsoft YaHei"/>
          <w:b w:val="0"/>
          <w:sz w:val="22"/>
        </w:rPr>
        <w:t>[ANALYSIS_PLACEHOLDER]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