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年次報告書2025</w:t>
      </w:r>
    </w:p>
    <w:p>
      <w:r>
        <w:rPr>
          <w:b/>
          <w:lang w:val="fr-FR"/>
        </w:rPr>
        <w:t xml:space="preserve">第1四半期の業績は予想を上回った。</w:t>
      </w:r>
      <w:r>
        <w:rPr>
          <w:lang w:val="fr-FR"/>
        </w:rPr>
        <w:t xml:space="preserve"/>
      </w:r>
      <w:r>
        <w:rPr>
          <w:lang w:val="fr-FR"/>
        </w:rPr>
        <w:t/>
      </w:r>
    </w:p>
    <w:p>
      <w:r>
        <w:t>生産は4月に完全に自動化されました。</w:t>
      </w:r>
    </w:p>
    <w:p>
      <w:r>
        <w:rPr>
          <w:lang w:eastAsia="ja-JP"/>
        </w:rPr>
        <w:t>同社は来年、海外市場に進出する予定である。</w:t>
      </w:r>
    </w:p>
    <w:p>
      <w:pPr>
        <w:pStyle w:val="Heading1"/>
      </w:pPr>
      <w:r>
        <w:rPr>
          <w:lang w:val="nl-NL"/>
        </w:rPr>
        <w:t>目次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概要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機密情報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