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EFE33">
      <w:pPr>
        <w:spacing w:after="156" w:afterLines="50"/>
        <w:jc w:val="center"/>
        <w:rPr>
          <w:rFonts w:hint="eastAsia" w:ascii="楷体_GB2312" w:hAnsi="宋体" w:eastAsia="楷体_GB2312"/>
          <w:sz w:val="32"/>
          <w:szCs w:val="32"/>
        </w:rPr>
      </w:pPr>
      <w:r>
        <w:rPr>
          <w:rFonts w:hint="eastAsia" w:eastAsia="黑体"/>
          <w:sz w:val="32"/>
          <w:szCs w:val="32"/>
        </w:rPr>
        <w:t>温州商学院本科毕业论文（设计）任务书</w:t>
      </w:r>
    </w:p>
    <w:tbl>
      <w:tblPr>
        <w:tblStyle w:val="7"/>
        <w:tblW w:w="880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32"/>
        <w:gridCol w:w="2864"/>
        <w:gridCol w:w="1445"/>
        <w:gridCol w:w="3260"/>
      </w:tblGrid>
      <w:tr w14:paraId="071C8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8" w:hRule="atLeast"/>
        </w:trPr>
        <w:tc>
          <w:tcPr>
            <w:tcW w:w="8801" w:type="dxa"/>
            <w:gridSpan w:val="4"/>
            <w:tcBorders>
              <w:top w:val="single" w:color="auto" w:sz="12" w:space="0"/>
              <w:left w:val="single" w:color="auto" w:sz="12" w:space="0"/>
              <w:bottom w:val="single" w:color="auto" w:sz="4" w:space="0"/>
              <w:right w:val="single" w:color="auto" w:sz="12" w:space="0"/>
            </w:tcBorders>
          </w:tcPr>
          <w:tbl>
            <w:tblPr>
              <w:tblStyle w:val="7"/>
              <w:tblpPr w:leftFromText="180" w:rightFromText="180" w:vertAnchor="text" w:horzAnchor="page" w:tblpX="-23" w:tblpY="-80"/>
              <w:tblOverlap w:val="never"/>
              <w:tblW w:w="945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33"/>
              <w:gridCol w:w="1477"/>
              <w:gridCol w:w="1447"/>
              <w:gridCol w:w="1609"/>
              <w:gridCol w:w="1310"/>
              <w:gridCol w:w="1718"/>
              <w:gridCol w:w="559"/>
              <w:gridCol w:w="105"/>
            </w:tblGrid>
            <w:tr w14:paraId="28B28C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105" w:type="dxa"/>
                <w:cantSplit/>
                <w:trHeight w:val="624" w:hRule="atLeast"/>
              </w:trPr>
              <w:tc>
                <w:tcPr>
                  <w:tcW w:w="1233" w:type="dxa"/>
                  <w:tcBorders>
                    <w:right w:val="single" w:color="auto" w:sz="4" w:space="0"/>
                    <w:tl2br w:val="nil"/>
                    <w:tr2bl w:val="nil"/>
                  </w:tcBorders>
                  <w:vAlign w:val="center"/>
                </w:tcPr>
                <w:p w14:paraId="7F30952D">
                  <w:pPr>
                    <w:topLinePunct/>
                    <w:rPr>
                      <w:rFonts w:hint="eastAsia" w:ascii="宋体" w:hAnsi="宋体" w:cs="宋体"/>
                      <w:sz w:val="24"/>
                    </w:rPr>
                  </w:pPr>
                  <w:r>
                    <w:rPr>
                      <w:rFonts w:hint="eastAsia"/>
                      <w:sz w:val="24"/>
                    </w:rPr>
                    <w:t>中文题目</w:t>
                  </w:r>
                </w:p>
              </w:tc>
              <w:tc>
                <w:tcPr>
                  <w:tcW w:w="8120" w:type="dxa"/>
                  <w:gridSpan w:val="6"/>
                  <w:tcBorders>
                    <w:left w:val="single" w:color="auto" w:sz="4" w:space="0"/>
                    <w:right w:val="nil"/>
                    <w:tl2br w:val="nil"/>
                    <w:tr2bl w:val="nil"/>
                  </w:tcBorders>
                  <w:vAlign w:val="center"/>
                </w:tcPr>
                <w:p w14:paraId="20566CE3">
                  <w:pPr>
                    <w:topLinePunct/>
                    <w:rPr>
                      <w:sz w:val="24"/>
                    </w:rPr>
                  </w:pPr>
                  <w:r>
                    <w:rPr>
                      <w:rFonts w:hint="eastAsia"/>
                      <w:sz w:val="24"/>
                    </w:rPr>
                    <w:t>基于Vue.js的丽水市非物质文化遗产平台的设计与实现</w:t>
                  </w:r>
                </w:p>
              </w:tc>
            </w:tr>
            <w:tr w14:paraId="0FC35D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105" w:type="dxa"/>
                <w:cantSplit/>
                <w:trHeight w:val="624" w:hRule="atLeast"/>
              </w:trPr>
              <w:tc>
                <w:tcPr>
                  <w:tcW w:w="1233" w:type="dxa"/>
                  <w:tcBorders>
                    <w:right w:val="single" w:color="auto" w:sz="4" w:space="0"/>
                    <w:tl2br w:val="nil"/>
                    <w:tr2bl w:val="nil"/>
                  </w:tcBorders>
                  <w:vAlign w:val="center"/>
                </w:tcPr>
                <w:p w14:paraId="7BE1F453">
                  <w:pPr>
                    <w:topLinePunct/>
                    <w:rPr>
                      <w:rFonts w:hint="eastAsia" w:ascii="宋体" w:hAnsi="宋体" w:cs="宋体"/>
                      <w:color w:val="FF0000"/>
                      <w:sz w:val="24"/>
                    </w:rPr>
                  </w:pPr>
                  <w:r>
                    <w:rPr>
                      <w:rFonts w:hint="eastAsia"/>
                      <w:sz w:val="24"/>
                    </w:rPr>
                    <w:t>英文题目</w:t>
                  </w:r>
                </w:p>
              </w:tc>
              <w:tc>
                <w:tcPr>
                  <w:tcW w:w="8120" w:type="dxa"/>
                  <w:gridSpan w:val="6"/>
                  <w:tcBorders>
                    <w:left w:val="single" w:color="auto" w:sz="4" w:space="0"/>
                    <w:right w:val="nil"/>
                    <w:tl2br w:val="nil"/>
                    <w:tr2bl w:val="nil"/>
                  </w:tcBorders>
                  <w:vAlign w:val="center"/>
                </w:tcPr>
                <w:p w14:paraId="33E0C0C4">
                  <w:pPr>
                    <w:topLinePunct/>
                    <w:rPr>
                      <w:sz w:val="24"/>
                    </w:rPr>
                  </w:pPr>
                  <w:r>
                    <w:rPr>
                      <w:rFonts w:hint="eastAsia"/>
                      <w:sz w:val="24"/>
                    </w:rPr>
                    <w:t xml:space="preserve">Design and Implementation of Lishui Intangible Cultural Heritage </w:t>
                  </w:r>
                </w:p>
                <w:p w14:paraId="70A3C678">
                  <w:pPr>
                    <w:topLinePunct/>
                    <w:rPr>
                      <w:sz w:val="24"/>
                    </w:rPr>
                  </w:pPr>
                  <w:r>
                    <w:rPr>
                      <w:rFonts w:hint="eastAsia"/>
                      <w:sz w:val="24"/>
                    </w:rPr>
                    <w:t>Platform Based on Vue.js</w:t>
                  </w:r>
                </w:p>
              </w:tc>
            </w:tr>
            <w:tr w14:paraId="62A3F9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105" w:type="dxa"/>
                <w:cantSplit/>
                <w:trHeight w:val="567" w:hRule="atLeast"/>
              </w:trPr>
              <w:tc>
                <w:tcPr>
                  <w:tcW w:w="1233" w:type="dxa"/>
                  <w:tcBorders>
                    <w:right w:val="single" w:color="auto" w:sz="4" w:space="0"/>
                    <w:tl2br w:val="nil"/>
                    <w:tr2bl w:val="nil"/>
                  </w:tcBorders>
                  <w:vAlign w:val="center"/>
                </w:tcPr>
                <w:p w14:paraId="4BF9A66A">
                  <w:pPr>
                    <w:topLinePunct/>
                    <w:jc w:val="center"/>
                    <w:rPr>
                      <w:rFonts w:hint="eastAsia"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姓  名</w:t>
                  </w:r>
                </w:p>
              </w:tc>
              <w:tc>
                <w:tcPr>
                  <w:tcW w:w="1477" w:type="dxa"/>
                  <w:tcBorders>
                    <w:left w:val="single" w:color="auto" w:sz="4" w:space="0"/>
                    <w:right w:val="single" w:color="auto" w:sz="4" w:space="0"/>
                    <w:tl2br w:val="nil"/>
                    <w:tr2bl w:val="nil"/>
                  </w:tcBorders>
                  <w:vAlign w:val="center"/>
                </w:tcPr>
                <w:p w14:paraId="66FCA6F9">
                  <w:pPr>
                    <w:topLinePunct/>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上官宇哲</w:t>
                  </w:r>
                </w:p>
              </w:tc>
              <w:tc>
                <w:tcPr>
                  <w:tcW w:w="1447" w:type="dxa"/>
                  <w:tcBorders>
                    <w:left w:val="single" w:color="auto" w:sz="4" w:space="0"/>
                    <w:right w:val="single" w:color="auto" w:sz="4" w:space="0"/>
                    <w:tl2br w:val="nil"/>
                    <w:tr2bl w:val="nil"/>
                  </w:tcBorders>
                  <w:vAlign w:val="center"/>
                </w:tcPr>
                <w:p w14:paraId="0449ACC4">
                  <w:pPr>
                    <w:topLinePunct/>
                    <w:jc w:val="center"/>
                    <w:rPr>
                      <w:rFonts w:hint="eastAsia"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  号</w:t>
                  </w:r>
                </w:p>
              </w:tc>
              <w:tc>
                <w:tcPr>
                  <w:tcW w:w="1609" w:type="dxa"/>
                  <w:tcBorders>
                    <w:left w:val="single" w:color="auto" w:sz="4" w:space="0"/>
                    <w:right w:val="single" w:color="auto" w:sz="4" w:space="0"/>
                    <w:tl2br w:val="nil"/>
                    <w:tr2bl w:val="nil"/>
                  </w:tcBorders>
                  <w:vAlign w:val="center"/>
                </w:tcPr>
                <w:p w14:paraId="543358AD">
                  <w:pPr>
                    <w:topLinePun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24230810156</w:t>
                  </w:r>
                </w:p>
              </w:tc>
              <w:tc>
                <w:tcPr>
                  <w:tcW w:w="1310" w:type="dxa"/>
                  <w:tcBorders>
                    <w:left w:val="single" w:color="auto" w:sz="4" w:space="0"/>
                    <w:right w:val="single" w:color="auto" w:sz="4" w:space="0"/>
                    <w:tl2br w:val="nil"/>
                    <w:tr2bl w:val="nil"/>
                  </w:tcBorders>
                  <w:vAlign w:val="center"/>
                </w:tcPr>
                <w:p w14:paraId="63236A72">
                  <w:pPr>
                    <w:topLinePunct/>
                    <w:jc w:val="center"/>
                    <w:rPr>
                      <w:rFonts w:hint="eastAsia"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指导教师</w:t>
                  </w:r>
                </w:p>
              </w:tc>
              <w:tc>
                <w:tcPr>
                  <w:tcW w:w="1718" w:type="dxa"/>
                  <w:tcBorders>
                    <w:left w:val="single" w:color="auto" w:sz="4" w:space="0"/>
                    <w:right w:val="single" w:color="auto" w:sz="4" w:space="0"/>
                    <w:tl2br w:val="nil"/>
                    <w:tr2bl w:val="nil"/>
                  </w:tcBorders>
                  <w:vAlign w:val="center"/>
                </w:tcPr>
                <w:p w14:paraId="078CD65E">
                  <w:pPr>
                    <w:topLinePun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陈佳</w:t>
                  </w:r>
                </w:p>
              </w:tc>
              <w:tc>
                <w:tcPr>
                  <w:tcW w:w="559" w:type="dxa"/>
                  <w:tcBorders>
                    <w:left w:val="single" w:color="auto" w:sz="4" w:space="0"/>
                    <w:right w:val="nil"/>
                    <w:tl2br w:val="nil"/>
                    <w:tr2bl w:val="nil"/>
                  </w:tcBorders>
                  <w:vAlign w:val="center"/>
                </w:tcPr>
                <w:p w14:paraId="237BFF6A">
                  <w:pPr>
                    <w:topLinePunct/>
                    <w:jc w:val="center"/>
                    <w:rPr>
                      <w:sz w:val="24"/>
                    </w:rPr>
                  </w:pPr>
                </w:p>
              </w:tc>
            </w:tr>
            <w:tr w14:paraId="0E9CCA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2"/>
                <w:wAfter w:w="664" w:type="dxa"/>
                <w:cantSplit/>
                <w:trHeight w:val="567" w:hRule="atLeast"/>
              </w:trPr>
              <w:tc>
                <w:tcPr>
                  <w:tcW w:w="1233" w:type="dxa"/>
                  <w:tcBorders>
                    <w:tl2br w:val="nil"/>
                    <w:tr2bl w:val="nil"/>
                  </w:tcBorders>
                  <w:vAlign w:val="center"/>
                </w:tcPr>
                <w:p w14:paraId="4D5816E6">
                  <w:pPr>
                    <w:topLinePunct/>
                    <w:jc w:val="center"/>
                    <w:rPr>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专  业</w:t>
                  </w:r>
                </w:p>
              </w:tc>
              <w:tc>
                <w:tcPr>
                  <w:tcW w:w="2924" w:type="dxa"/>
                  <w:gridSpan w:val="2"/>
                  <w:tcBorders>
                    <w:tl2br w:val="nil"/>
                    <w:tr2bl w:val="nil"/>
                  </w:tcBorders>
                  <w:vAlign w:val="center"/>
                </w:tcPr>
                <w:p w14:paraId="549D8EDE">
                  <w:pPr>
                    <w:topLinePun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计算机科学与技术</w:t>
                  </w:r>
                </w:p>
              </w:tc>
              <w:tc>
                <w:tcPr>
                  <w:tcW w:w="1609" w:type="dxa"/>
                  <w:tcBorders>
                    <w:tl2br w:val="nil"/>
                    <w:tr2bl w:val="nil"/>
                  </w:tcBorders>
                  <w:vAlign w:val="center"/>
                </w:tcPr>
                <w:p w14:paraId="3D469685">
                  <w:pPr>
                    <w:topLinePun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班  级</w:t>
                  </w:r>
                </w:p>
              </w:tc>
              <w:tc>
                <w:tcPr>
                  <w:tcW w:w="3028" w:type="dxa"/>
                  <w:gridSpan w:val="2"/>
                  <w:tcBorders>
                    <w:right w:val="nil"/>
                    <w:tl2br w:val="nil"/>
                    <w:tr2bl w:val="nil"/>
                  </w:tcBorders>
                  <w:vAlign w:val="center"/>
                </w:tcPr>
                <w:p w14:paraId="5039992B">
                  <w:pPr>
                    <w:topLinePun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24计算机科学与技术(专升本)1</w:t>
                  </w:r>
                </w:p>
              </w:tc>
            </w:tr>
            <w:tr w14:paraId="45F805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88" w:hRule="atLeast"/>
              </w:trPr>
              <w:tc>
                <w:tcPr>
                  <w:tcW w:w="1233" w:type="dxa"/>
                  <w:tcBorders>
                    <w:tl2br w:val="nil"/>
                    <w:tr2bl w:val="nil"/>
                  </w:tcBorders>
                  <w:vAlign w:val="center"/>
                </w:tcPr>
                <w:p w14:paraId="27F32297">
                  <w:pPr>
                    <w:topLinePunct/>
                    <w:jc w:val="center"/>
                    <w:rPr>
                      <w:rFonts w:hint="eastAsia" w:ascii="宋体" w:hAnsi="宋体" w:cs="宋体"/>
                      <w:sz w:val="24"/>
                    </w:rPr>
                  </w:pPr>
                  <w:r>
                    <w:rPr>
                      <w:rFonts w:hint="eastAsia"/>
                      <w:sz w:val="24"/>
                    </w:rPr>
                    <w:t>题目来源</w:t>
                  </w:r>
                </w:p>
              </w:tc>
              <w:tc>
                <w:tcPr>
                  <w:tcW w:w="2924" w:type="dxa"/>
                  <w:gridSpan w:val="2"/>
                  <w:tcBorders>
                    <w:tl2br w:val="nil"/>
                    <w:tr2bl w:val="nil"/>
                  </w:tcBorders>
                  <w:vAlign w:val="center"/>
                </w:tcPr>
                <w:p w14:paraId="7F102274">
                  <w:pPr>
                    <w:topLinePunct/>
                    <w:jc w:val="center"/>
                    <w:rPr>
                      <w:sz w:val="24"/>
                    </w:rPr>
                  </w:pPr>
                  <w:r>
                    <w:rPr>
                      <w:rFonts w:hint="eastAsia"/>
                      <w:sz w:val="24"/>
                    </w:rPr>
                    <w:t>工程实践☑  社会调查□</w:t>
                  </w:r>
                </w:p>
                <w:p w14:paraId="6B08C94A">
                  <w:pPr>
                    <w:topLinePunct/>
                    <w:jc w:val="center"/>
                    <w:rPr>
                      <w:sz w:val="24"/>
                    </w:rPr>
                  </w:pPr>
                  <w:r>
                    <w:rPr>
                      <w:rFonts w:hint="eastAsia"/>
                      <w:sz w:val="24"/>
                    </w:rPr>
                    <w:t>学科竞赛□  项目实践□</w:t>
                  </w:r>
                </w:p>
                <w:p w14:paraId="1BEA1B05">
                  <w:pPr>
                    <w:topLinePunct/>
                    <w:jc w:val="center"/>
                    <w:rPr>
                      <w:sz w:val="24"/>
                    </w:rPr>
                  </w:pPr>
                  <w:r>
                    <w:rPr>
                      <w:rFonts w:hint="eastAsia"/>
                      <w:sz w:val="24"/>
                    </w:rPr>
                    <w:t>实验实习□  其    他□</w:t>
                  </w:r>
                </w:p>
              </w:tc>
              <w:tc>
                <w:tcPr>
                  <w:tcW w:w="1609" w:type="dxa"/>
                  <w:tcBorders>
                    <w:tl2br w:val="nil"/>
                    <w:tr2bl w:val="nil"/>
                  </w:tcBorders>
                  <w:vAlign w:val="center"/>
                </w:tcPr>
                <w:p w14:paraId="32C74096">
                  <w:pPr>
                    <w:topLinePunct/>
                    <w:jc w:val="center"/>
                    <w:rPr>
                      <w:sz w:val="24"/>
                    </w:rPr>
                  </w:pPr>
                  <w:r>
                    <w:rPr>
                      <w:rFonts w:hint="eastAsia"/>
                      <w:sz w:val="24"/>
                    </w:rPr>
                    <w:t>论文类型</w:t>
                  </w:r>
                </w:p>
              </w:tc>
              <w:tc>
                <w:tcPr>
                  <w:tcW w:w="3692" w:type="dxa"/>
                  <w:gridSpan w:val="4"/>
                  <w:tcBorders>
                    <w:tl2br w:val="nil"/>
                    <w:tr2bl w:val="nil"/>
                  </w:tcBorders>
                  <w:vAlign w:val="center"/>
                </w:tcPr>
                <w:p w14:paraId="613DE3E1">
                  <w:pPr>
                    <w:topLinePunct/>
                    <w:rPr>
                      <w:sz w:val="24"/>
                    </w:rPr>
                  </w:pPr>
                  <w:r>
                    <w:rPr>
                      <w:rFonts w:hint="eastAsia"/>
                      <w:sz w:val="24"/>
                    </w:rPr>
                    <w:t>毕业设计</w:t>
                  </w:r>
                  <w:r>
                    <w:rPr>
                      <w:rFonts w:hint="eastAsia" w:ascii="宋体" w:hAnsi="宋体"/>
                      <w:sz w:val="24"/>
                    </w:rPr>
                    <w:t>☑  毕业</w:t>
                  </w:r>
                  <w:r>
                    <w:rPr>
                      <w:rFonts w:hint="eastAsia"/>
                      <w:sz w:val="24"/>
                    </w:rPr>
                    <w:t>论文</w:t>
                  </w:r>
                  <w:r>
                    <w:rPr>
                      <w:rFonts w:hint="eastAsia" w:ascii="宋体" w:hAnsi="宋体"/>
                      <w:sz w:val="24"/>
                    </w:rPr>
                    <w:sym w:font="Wingdings 2" w:char="00A3"/>
                  </w:r>
                </w:p>
              </w:tc>
            </w:tr>
          </w:tbl>
          <w:p w14:paraId="4F8E9E70">
            <w:pPr>
              <w:topLinePunct/>
              <w:spacing w:before="156" w:beforeLines="50" w:after="156" w:afterLines="50" w:line="360" w:lineRule="auto"/>
              <w:rPr>
                <w:rFonts w:hint="eastAsia" w:ascii="宋体" w:hAnsi="宋体" w:cs="宋体"/>
                <w:b/>
                <w:bCs/>
                <w:sz w:val="32"/>
                <w:szCs w:val="32"/>
              </w:rPr>
            </w:pPr>
            <w:bookmarkStart w:id="0" w:name="_Toc242927747"/>
            <w:bookmarkStart w:id="1" w:name="_Toc16509"/>
            <w:bookmarkStart w:id="2" w:name="_Toc242927828"/>
            <w:r>
              <w:rPr>
                <w:rFonts w:hint="eastAsia" w:ascii="宋体" w:hAnsi="宋体" w:cs="宋体"/>
                <w:b/>
                <w:bCs/>
                <w:sz w:val="32"/>
                <w:szCs w:val="32"/>
              </w:rPr>
              <w:br w:type="page"/>
            </w:r>
            <w:r>
              <w:rPr>
                <w:rFonts w:hint="eastAsia" w:ascii="宋体" w:hAnsi="宋体" w:cs="宋体"/>
                <w:b/>
                <w:bCs/>
                <w:sz w:val="32"/>
                <w:szCs w:val="32"/>
              </w:rPr>
              <w:t>一、主要任务与目标</w:t>
            </w:r>
          </w:p>
          <w:bookmarkEnd w:id="0"/>
          <w:bookmarkEnd w:id="1"/>
          <w:bookmarkEnd w:id="2"/>
          <w:p w14:paraId="4B4E49B9">
            <w:pPr>
              <w:topLinePunct/>
              <w:spacing w:line="360" w:lineRule="auto"/>
              <w:ind w:firstLine="562" w:firstLineChars="200"/>
              <w:rPr>
                <w:b/>
                <w:bCs/>
                <w:sz w:val="28"/>
                <w:szCs w:val="28"/>
                <w:lang w:val="zh-CN"/>
              </w:rPr>
            </w:pPr>
            <w:r>
              <w:rPr>
                <w:b/>
                <w:bCs/>
                <w:sz w:val="28"/>
                <w:szCs w:val="28"/>
              </w:rPr>
              <w:t>（一）</w:t>
            </w:r>
            <w:r>
              <w:rPr>
                <w:b/>
                <w:bCs/>
                <w:sz w:val="28"/>
                <w:szCs w:val="28"/>
                <w:lang w:val="zh-CN"/>
              </w:rPr>
              <w:t>研究意义</w:t>
            </w:r>
          </w:p>
          <w:p w14:paraId="0729E69E">
            <w:pPr>
              <w:topLinePunct/>
              <w:spacing w:line="360" w:lineRule="auto"/>
              <w:ind w:firstLine="480" w:firstLineChars="200"/>
              <w:rPr>
                <w:color w:val="FF0000"/>
                <w:sz w:val="24"/>
                <w:lang w:val="zh-CN"/>
              </w:rPr>
            </w:pPr>
            <w:r>
              <w:rPr>
                <w:rFonts w:hint="eastAsia"/>
                <w:color w:val="000000" w:themeColor="text1"/>
                <w:sz w:val="24"/>
                <w14:textFill>
                  <w14:solidFill>
                    <w14:schemeClr w14:val="tx1"/>
                  </w14:solidFill>
                </w14:textFill>
              </w:rPr>
              <w:t>随着社会的发展，非物质文化遗产的可实用性并不高，导致非物质文化遗产逐渐淡化出大众的视野，而丽水这座位于浙江西南部的城市，拥有着丰富独特的非物质文化遗产，然而缺少有效的传播手段，使这些非遗资源未能得到充分展示，外地人甚至本地人对其了解的少之又少，该网站可以给公众带来丽水市非遗项目的介绍，为了让越来越多的人知道到丽水市的非遗，因此设计与实现一个。数字化是当下及未来非遗保护与传播的主要方式之一，为此，本毕业设计题目为让大众对丽水市的非遗有一个更深刻的了解进行设计与开发。</w:t>
            </w:r>
          </w:p>
          <w:p w14:paraId="76991669">
            <w:pPr>
              <w:topLinePunct/>
              <w:spacing w:line="360" w:lineRule="auto"/>
              <w:ind w:firstLine="562" w:firstLineChars="200"/>
              <w:rPr>
                <w:b/>
                <w:bCs/>
                <w:kern w:val="0"/>
                <w:sz w:val="28"/>
                <w:szCs w:val="28"/>
                <w:lang w:val="zh-CN"/>
              </w:rPr>
            </w:pPr>
            <w:r>
              <w:rPr>
                <w:b/>
                <w:bCs/>
                <w:kern w:val="0"/>
                <w:sz w:val="28"/>
                <w:szCs w:val="28"/>
                <w:lang w:val="zh-CN"/>
              </w:rPr>
              <w:t>（二）主要任务</w:t>
            </w:r>
          </w:p>
          <w:p w14:paraId="286F2904">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1.</w:t>
            </w:r>
            <w:r>
              <w:rPr>
                <w:rFonts w:hint="eastAsia"/>
                <w:color w:val="000000" w:themeColor="text1"/>
                <w:kern w:val="0"/>
                <w:sz w:val="24"/>
                <w14:textFill>
                  <w14:solidFill>
                    <w14:schemeClr w14:val="tx1"/>
                  </w14:solidFill>
                </w14:textFill>
              </w:rPr>
              <w:t xml:space="preserve"> </w:t>
            </w:r>
            <w:r>
              <w:rPr>
                <w:color w:val="000000" w:themeColor="text1"/>
                <w:kern w:val="0"/>
                <w:sz w:val="24"/>
                <w:lang w:val="zh-CN"/>
                <w14:textFill>
                  <w14:solidFill>
                    <w14:schemeClr w14:val="tx1"/>
                  </w14:solidFill>
                </w14:textFill>
              </w:rPr>
              <w:t>调查分析国内外文献资料，完成开题报告和文献综述的撰写；</w:t>
            </w:r>
          </w:p>
          <w:p w14:paraId="049E60C6">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2.</w:t>
            </w:r>
            <w:r>
              <w:rPr>
                <w:rFonts w:hint="eastAsia"/>
                <w:color w:val="000000" w:themeColor="text1"/>
                <w:kern w:val="0"/>
                <w:sz w:val="24"/>
                <w14:textFill>
                  <w14:solidFill>
                    <w14:schemeClr w14:val="tx1"/>
                  </w14:solidFill>
                </w14:textFill>
              </w:rPr>
              <w:t xml:space="preserve"> </w:t>
            </w:r>
            <w:r>
              <w:rPr>
                <w:color w:val="000000" w:themeColor="text1"/>
                <w:kern w:val="0"/>
                <w:sz w:val="24"/>
                <w:lang w:val="zh-CN"/>
                <w14:textFill>
                  <w14:solidFill>
                    <w14:schemeClr w14:val="tx1"/>
                  </w14:solidFill>
                </w14:textFill>
              </w:rPr>
              <w:t>学习和掌握</w:t>
            </w:r>
            <w:r>
              <w:rPr>
                <w:rFonts w:hint="eastAsia"/>
                <w:color w:val="000000" w:themeColor="text1"/>
                <w:kern w:val="0"/>
                <w:sz w:val="24"/>
                <w14:textFill>
                  <w14:solidFill>
                    <w14:schemeClr w14:val="tx1"/>
                  </w14:solidFill>
                </w14:textFill>
              </w:rPr>
              <w:t>项目</w:t>
            </w:r>
            <w:r>
              <w:rPr>
                <w:color w:val="000000" w:themeColor="text1"/>
                <w:kern w:val="0"/>
                <w:sz w:val="24"/>
                <w:lang w:val="zh-CN"/>
                <w14:textFill>
                  <w14:solidFill>
                    <w14:schemeClr w14:val="tx1"/>
                  </w14:solidFill>
                </w14:textFill>
              </w:rPr>
              <w:t>开发及相关技术，构建的</w:t>
            </w:r>
            <w:r>
              <w:rPr>
                <w:rFonts w:hint="eastAsia"/>
                <w:color w:val="000000" w:themeColor="text1"/>
                <w:kern w:val="0"/>
                <w:sz w:val="24"/>
                <w14:textFill>
                  <w14:solidFill>
                    <w14:schemeClr w14:val="tx1"/>
                  </w14:solidFill>
                </w14:textFill>
              </w:rPr>
              <w:t>网页构建</w:t>
            </w:r>
            <w:r>
              <w:rPr>
                <w:color w:val="000000" w:themeColor="text1"/>
                <w:kern w:val="0"/>
                <w:sz w:val="24"/>
                <w:lang w:val="zh-CN"/>
                <w14:textFill>
                  <w14:solidFill>
                    <w14:schemeClr w14:val="tx1"/>
                  </w14:solidFill>
                </w14:textFill>
              </w:rPr>
              <w:t>和</w:t>
            </w:r>
            <w:r>
              <w:rPr>
                <w:rFonts w:hint="eastAsia"/>
                <w:color w:val="000000" w:themeColor="text1"/>
                <w:kern w:val="0"/>
                <w:sz w:val="24"/>
                <w14:textFill>
                  <w14:solidFill>
                    <w14:schemeClr w14:val="tx1"/>
                  </w14:solidFill>
                </w14:textFill>
              </w:rPr>
              <w:t>代码实现</w:t>
            </w:r>
            <w:r>
              <w:rPr>
                <w:color w:val="000000" w:themeColor="text1"/>
                <w:kern w:val="0"/>
                <w:sz w:val="24"/>
                <w:lang w:val="zh-CN"/>
                <w14:textFill>
                  <w14:solidFill>
                    <w14:schemeClr w14:val="tx1"/>
                  </w14:solidFill>
                </w14:textFill>
              </w:rPr>
              <w:t>；</w:t>
            </w:r>
          </w:p>
          <w:p w14:paraId="02896EC7">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3.</w:t>
            </w:r>
            <w:r>
              <w:rPr>
                <w:rFonts w:hint="eastAsia"/>
                <w:color w:val="000000" w:themeColor="text1"/>
                <w:kern w:val="0"/>
                <w:sz w:val="24"/>
                <w14:textFill>
                  <w14:solidFill>
                    <w14:schemeClr w14:val="tx1"/>
                  </w14:solidFill>
                </w14:textFill>
              </w:rPr>
              <w:t xml:space="preserve"> </w:t>
            </w:r>
            <w:r>
              <w:rPr>
                <w:color w:val="000000" w:themeColor="text1"/>
                <w:kern w:val="0"/>
                <w:sz w:val="24"/>
                <w:lang w:val="zh-CN"/>
                <w14:textFill>
                  <w14:solidFill>
                    <w14:schemeClr w14:val="tx1"/>
                  </w14:solidFill>
                </w14:textFill>
              </w:rPr>
              <w:t>开展数据库设计、系统设计与实现，完成整体</w:t>
            </w:r>
            <w:r>
              <w:rPr>
                <w:rFonts w:hint="eastAsia"/>
                <w:color w:val="000000" w:themeColor="text1"/>
                <w:kern w:val="0"/>
                <w:sz w:val="24"/>
                <w14:textFill>
                  <w14:solidFill>
                    <w14:schemeClr w14:val="tx1"/>
                  </w14:solidFill>
                </w14:textFill>
              </w:rPr>
              <w:t>项目</w:t>
            </w:r>
            <w:r>
              <w:rPr>
                <w:color w:val="000000" w:themeColor="text1"/>
                <w:kern w:val="0"/>
                <w:sz w:val="24"/>
                <w:lang w:val="zh-CN"/>
                <w14:textFill>
                  <w14:solidFill>
                    <w14:schemeClr w14:val="tx1"/>
                  </w14:solidFill>
                </w14:textFill>
              </w:rPr>
              <w:t>的开发；</w:t>
            </w:r>
          </w:p>
          <w:p w14:paraId="3E29B099">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4.</w:t>
            </w:r>
            <w:r>
              <w:rPr>
                <w:rFonts w:hint="eastAsia"/>
                <w:color w:val="000000" w:themeColor="text1"/>
                <w:kern w:val="0"/>
                <w:sz w:val="24"/>
                <w14:textFill>
                  <w14:solidFill>
                    <w14:schemeClr w14:val="tx1"/>
                  </w14:solidFill>
                </w14:textFill>
              </w:rPr>
              <w:t xml:space="preserve"> </w:t>
            </w:r>
            <w:r>
              <w:rPr>
                <w:color w:val="000000" w:themeColor="text1"/>
                <w:kern w:val="0"/>
                <w:sz w:val="24"/>
                <w:lang w:val="zh-CN"/>
                <w14:textFill>
                  <w14:solidFill>
                    <w14:schemeClr w14:val="tx1"/>
                  </w14:solidFill>
                </w14:textFill>
              </w:rPr>
              <w:t>完成</w:t>
            </w:r>
            <w:r>
              <w:rPr>
                <w:rFonts w:hint="eastAsia"/>
                <w:color w:val="000000" w:themeColor="text1"/>
                <w:kern w:val="0"/>
                <w:sz w:val="24"/>
                <w14:textFill>
                  <w14:solidFill>
                    <w14:schemeClr w14:val="tx1"/>
                  </w14:solidFill>
                </w14:textFill>
              </w:rPr>
              <w:t>项目</w:t>
            </w:r>
            <w:r>
              <w:rPr>
                <w:color w:val="000000" w:themeColor="text1"/>
                <w:kern w:val="0"/>
                <w:sz w:val="24"/>
                <w:lang w:val="zh-CN"/>
                <w14:textFill>
                  <w14:solidFill>
                    <w14:schemeClr w14:val="tx1"/>
                  </w14:solidFill>
                </w14:textFill>
              </w:rPr>
              <w:t>调试与完善，包括</w:t>
            </w:r>
            <w:r>
              <w:rPr>
                <w:rFonts w:hint="eastAsia"/>
                <w:color w:val="000000" w:themeColor="text1"/>
                <w:kern w:val="0"/>
                <w:sz w:val="24"/>
                <w14:textFill>
                  <w14:solidFill>
                    <w14:schemeClr w14:val="tx1"/>
                  </w14:solidFill>
                </w14:textFill>
              </w:rPr>
              <w:t>项目</w:t>
            </w:r>
            <w:r>
              <w:rPr>
                <w:color w:val="000000" w:themeColor="text1"/>
                <w:kern w:val="0"/>
                <w:sz w:val="24"/>
                <w:lang w:val="zh-CN"/>
                <w14:textFill>
                  <w14:solidFill>
                    <w14:schemeClr w14:val="tx1"/>
                  </w14:solidFill>
                </w14:textFill>
              </w:rPr>
              <w:t>中的各项功能；</w:t>
            </w:r>
          </w:p>
          <w:p w14:paraId="2C6CE26D">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5.</w:t>
            </w:r>
            <w:r>
              <w:rPr>
                <w:rFonts w:hint="eastAsia"/>
                <w:color w:val="000000" w:themeColor="text1"/>
                <w:kern w:val="0"/>
                <w:sz w:val="24"/>
                <w14:textFill>
                  <w14:solidFill>
                    <w14:schemeClr w14:val="tx1"/>
                  </w14:solidFill>
                </w14:textFill>
              </w:rPr>
              <w:t xml:space="preserve"> </w:t>
            </w:r>
            <w:r>
              <w:rPr>
                <w:color w:val="000000" w:themeColor="text1"/>
                <w:kern w:val="0"/>
                <w:sz w:val="24"/>
                <w:lang w:val="zh-CN"/>
                <w14:textFill>
                  <w14:solidFill>
                    <w14:schemeClr w14:val="tx1"/>
                  </w14:solidFill>
                </w14:textFill>
              </w:rPr>
              <w:t>撰写毕业论文，完成论文答辩等相关工作。</w:t>
            </w:r>
          </w:p>
          <w:p w14:paraId="0A6C68C5">
            <w:pPr>
              <w:topLinePunct/>
              <w:spacing w:line="360" w:lineRule="auto"/>
              <w:ind w:firstLine="562" w:firstLineChars="200"/>
              <w:rPr>
                <w:b/>
                <w:bCs/>
                <w:kern w:val="0"/>
                <w:sz w:val="28"/>
                <w:szCs w:val="28"/>
                <w:lang w:val="zh-CN"/>
              </w:rPr>
            </w:pPr>
            <w:r>
              <w:rPr>
                <w:b/>
                <w:bCs/>
                <w:kern w:val="0"/>
                <w:sz w:val="28"/>
                <w:szCs w:val="28"/>
                <w:lang w:val="zh-CN"/>
              </w:rPr>
              <w:t>（三）总体目标</w:t>
            </w:r>
          </w:p>
          <w:p w14:paraId="4701E09F">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1. 培养学生掌握文献检索、资料查询的基本方法和自我学习能力；</w:t>
            </w:r>
          </w:p>
          <w:p w14:paraId="1048E770">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2. 提高学生信息处理能力及运用所学专业知识解决实际问题的能力；</w:t>
            </w:r>
          </w:p>
          <w:p w14:paraId="402DD224">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3. 通过设计</w:t>
            </w:r>
            <w:r>
              <w:rPr>
                <w:rFonts w:hint="eastAsia"/>
                <w:color w:val="000000" w:themeColor="text1"/>
                <w:kern w:val="0"/>
                <w:sz w:val="24"/>
                <w14:textFill>
                  <w14:solidFill>
                    <w14:schemeClr w14:val="tx1"/>
                  </w14:solidFill>
                </w14:textFill>
              </w:rPr>
              <w:t>非物质文化遗产项目实现</w:t>
            </w:r>
            <w:r>
              <w:rPr>
                <w:color w:val="000000" w:themeColor="text1"/>
                <w:kern w:val="0"/>
                <w:sz w:val="24"/>
                <w:lang w:val="zh-CN"/>
                <w14:textFill>
                  <w14:solidFill>
                    <w14:schemeClr w14:val="tx1"/>
                  </w14:solidFill>
                </w14:textFill>
              </w:rPr>
              <w:t>，巩固和提高对</w:t>
            </w:r>
            <w:r>
              <w:rPr>
                <w:rFonts w:hint="eastAsia"/>
                <w:color w:val="000000" w:themeColor="text1"/>
                <w:kern w:val="0"/>
                <w:sz w:val="24"/>
                <w14:textFill>
                  <w14:solidFill>
                    <w14:schemeClr w14:val="tx1"/>
                  </w14:solidFill>
                </w14:textFill>
              </w:rPr>
              <w:t>编程</w:t>
            </w:r>
            <w:r>
              <w:rPr>
                <w:color w:val="000000" w:themeColor="text1"/>
                <w:kern w:val="0"/>
                <w:sz w:val="24"/>
                <w:lang w:val="zh-CN"/>
                <w14:textFill>
                  <w14:solidFill>
                    <w14:schemeClr w14:val="tx1"/>
                  </w14:solidFill>
                </w14:textFill>
              </w:rPr>
              <w:t>、数据库设计与实现的知识，提升编程能力；</w:t>
            </w:r>
          </w:p>
          <w:p w14:paraId="39B59003">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4. 培养学生掌握正确的思维方法和利用计算机解决实际问题的基本技能；</w:t>
            </w:r>
          </w:p>
          <w:p w14:paraId="3714A954">
            <w:pPr>
              <w:autoSpaceDE w:val="0"/>
              <w:autoSpaceDN w:val="0"/>
              <w:adjustRightInd w:val="0"/>
              <w:spacing w:line="360" w:lineRule="auto"/>
              <w:ind w:firstLine="480" w:firstLineChars="200"/>
              <w:rPr>
                <w:color w:val="000000" w:themeColor="text1"/>
                <w:kern w:val="0"/>
                <w:sz w:val="24"/>
                <w:lang w:val="zh-CN"/>
                <w14:textFill>
                  <w14:solidFill>
                    <w14:schemeClr w14:val="tx1"/>
                  </w14:solidFill>
                </w14:textFill>
              </w:rPr>
            </w:pPr>
            <w:r>
              <w:rPr>
                <w:color w:val="000000" w:themeColor="text1"/>
                <w:kern w:val="0"/>
                <w:sz w:val="24"/>
                <w:lang w:val="zh-CN"/>
                <w14:textFill>
                  <w14:solidFill>
                    <w14:schemeClr w14:val="tx1"/>
                  </w14:solidFill>
                </w14:textFill>
              </w:rPr>
              <w:t>5. 培养学生学术论文写作水平。</w:t>
            </w:r>
          </w:p>
          <w:p w14:paraId="00B625CC">
            <w:pPr>
              <w:topLinePunct/>
              <w:spacing w:line="360" w:lineRule="auto"/>
              <w:ind w:firstLine="480" w:firstLineChars="200"/>
              <w:rPr>
                <w:color w:val="EE0000"/>
                <w:kern w:val="0"/>
                <w:sz w:val="24"/>
                <w:lang w:val="zh-CN"/>
              </w:rPr>
            </w:pPr>
          </w:p>
        </w:tc>
      </w:tr>
      <w:tr w14:paraId="43B16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81" w:hRule="atLeast"/>
        </w:trPr>
        <w:tc>
          <w:tcPr>
            <w:tcW w:w="8801" w:type="dxa"/>
            <w:gridSpan w:val="4"/>
            <w:tcBorders>
              <w:top w:val="single" w:color="auto" w:sz="4" w:space="0"/>
              <w:left w:val="single" w:color="auto" w:sz="12" w:space="0"/>
              <w:bottom w:val="single" w:color="auto" w:sz="4" w:space="0"/>
              <w:right w:val="single" w:color="auto" w:sz="12" w:space="0"/>
            </w:tcBorders>
          </w:tcPr>
          <w:p w14:paraId="10544A6F">
            <w:pPr>
              <w:topLinePunct/>
              <w:spacing w:before="156" w:beforeLines="50" w:after="156" w:afterLines="50" w:line="360" w:lineRule="auto"/>
              <w:rPr>
                <w:rFonts w:hint="eastAsia" w:ascii="宋体" w:hAnsi="宋体" w:cs="宋体"/>
                <w:b/>
                <w:bCs/>
                <w:sz w:val="32"/>
                <w:szCs w:val="32"/>
              </w:rPr>
            </w:pPr>
            <w:r>
              <w:rPr>
                <w:rFonts w:hint="eastAsia" w:ascii="宋体" w:hAnsi="宋体" w:cs="宋体"/>
                <w:b/>
                <w:bCs/>
                <w:sz w:val="32"/>
                <w:szCs w:val="32"/>
              </w:rPr>
              <w:t>二、主要内容与基本要求</w:t>
            </w:r>
          </w:p>
          <w:p w14:paraId="418EF095">
            <w:pPr>
              <w:topLinePunct/>
              <w:spacing w:line="360" w:lineRule="auto"/>
              <w:ind w:firstLine="562" w:firstLineChars="200"/>
              <w:rPr>
                <w:rFonts w:hint="eastAsia" w:hAnsi="宋体"/>
                <w:b/>
                <w:bCs/>
                <w:kern w:val="0"/>
                <w:sz w:val="28"/>
                <w:szCs w:val="28"/>
                <w:lang w:val="zh-CN"/>
              </w:rPr>
            </w:pPr>
            <w:r>
              <w:rPr>
                <w:rFonts w:hint="eastAsia" w:hAnsi="宋体"/>
                <w:b/>
                <w:bCs/>
                <w:kern w:val="0"/>
                <w:sz w:val="28"/>
                <w:szCs w:val="28"/>
                <w:lang w:val="zh-CN"/>
              </w:rPr>
              <w:t>（</w:t>
            </w:r>
            <w:r>
              <w:rPr>
                <w:rFonts w:hint="eastAsia" w:hAnsi="宋体"/>
                <w:b/>
                <w:bCs/>
                <w:kern w:val="0"/>
                <w:sz w:val="28"/>
                <w:szCs w:val="28"/>
              </w:rPr>
              <w:t>一</w:t>
            </w:r>
            <w:r>
              <w:rPr>
                <w:rFonts w:hint="eastAsia" w:hAnsi="宋体"/>
                <w:b/>
                <w:bCs/>
                <w:kern w:val="0"/>
                <w:sz w:val="28"/>
                <w:szCs w:val="28"/>
                <w:lang w:val="zh-CN"/>
              </w:rPr>
              <w:t>）研究内容</w:t>
            </w:r>
          </w:p>
          <w:p w14:paraId="5705D2E5">
            <w:pPr>
              <w:autoSpaceDE w:val="0"/>
              <w:autoSpaceDN w:val="0"/>
              <w:adjustRightInd w:val="0"/>
              <w:spacing w:line="360" w:lineRule="auto"/>
              <w:ind w:firstLine="480" w:firstLineChars="200"/>
              <w:rPr>
                <w:rFonts w:hint="eastAsia" w:hAnsi="宋体"/>
                <w:color w:val="000000" w:themeColor="text1"/>
                <w:kern w:val="0"/>
                <w:sz w:val="24"/>
                <w14:textFill>
                  <w14:solidFill>
                    <w14:schemeClr w14:val="tx1"/>
                  </w14:solidFill>
                </w14:textFill>
              </w:rPr>
            </w:pPr>
            <w:r>
              <w:rPr>
                <w:rFonts w:hint="eastAsia" w:hAnsi="宋体"/>
                <w:color w:val="000000" w:themeColor="text1"/>
                <w:kern w:val="0"/>
                <w:sz w:val="24"/>
                <w:lang w:val="zh-CN"/>
                <w14:textFill>
                  <w14:solidFill>
                    <w14:schemeClr w14:val="tx1"/>
                  </w14:solidFill>
                </w14:textFill>
              </w:rPr>
              <w:t>1.</w:t>
            </w:r>
            <w:r>
              <w:rPr>
                <w:rFonts w:hint="eastAsia" w:hAnsi="宋体"/>
                <w:color w:val="000000" w:themeColor="text1"/>
                <w:kern w:val="0"/>
                <w:sz w:val="24"/>
                <w14:textFill>
                  <w14:solidFill>
                    <w14:schemeClr w14:val="tx1"/>
                  </w14:solidFill>
                </w14:textFill>
              </w:rPr>
              <w:t xml:space="preserve"> 用户注册与登录：支持普通用户通过账号密码注册和登录，系统会记录用户昵称、头像、注册时间等基本信息。</w:t>
            </w:r>
          </w:p>
          <w:p w14:paraId="54EB576F">
            <w:p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14:textFill>
                  <w14:solidFill>
                    <w14:schemeClr w14:val="tx1"/>
                  </w14:solidFill>
                </w14:textFill>
              </w:rPr>
              <w:t>管理员后台入口：提供独立的管理员登录通道，系统将严格区分普通用户与管理员的权限。管理员拥有后台管理系统的全部权限，而普通用户则只能访问前台的展示与互动功能</w:t>
            </w:r>
            <w:r>
              <w:rPr>
                <w:rFonts w:hint="eastAsia" w:hAnsi="宋体"/>
                <w:color w:val="000000" w:themeColor="text1"/>
                <w:kern w:val="0"/>
                <w:sz w:val="24"/>
                <w:lang w:val="zh-CN"/>
                <w14:textFill>
                  <w14:solidFill>
                    <w14:schemeClr w14:val="tx1"/>
                  </w14:solidFill>
                </w14:textFill>
              </w:rPr>
              <w:t>。</w:t>
            </w:r>
          </w:p>
          <w:p w14:paraId="3982E641">
            <w:pPr>
              <w:numPr>
                <w:ilvl w:val="0"/>
                <w:numId w:val="1"/>
              </w:num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lang w:val="zh-CN"/>
                <w14:textFill>
                  <w14:solidFill>
                    <w14:schemeClr w14:val="tx1"/>
                  </w14:solidFill>
                </w14:textFill>
              </w:rPr>
              <w:t>非遗项目</w:t>
            </w:r>
            <w:r>
              <w:rPr>
                <w:rFonts w:hint="eastAsia" w:hAnsi="宋体"/>
                <w:color w:val="000000" w:themeColor="text1"/>
                <w:kern w:val="0"/>
                <w:sz w:val="24"/>
                <w14:textFill>
                  <w14:solidFill>
                    <w14:schemeClr w14:val="tx1"/>
                  </w14:solidFill>
                </w14:textFill>
              </w:rPr>
              <w:t>模块</w:t>
            </w:r>
            <w:r>
              <w:rPr>
                <w:rFonts w:hint="eastAsia" w:hAnsi="宋体"/>
                <w:color w:val="000000" w:themeColor="text1"/>
                <w:kern w:val="0"/>
                <w:sz w:val="24"/>
                <w:lang w:val="zh-CN"/>
                <w14:textFill>
                  <w14:solidFill>
                    <w14:schemeClr w14:val="tx1"/>
                  </w14:solidFill>
                </w14:textFill>
              </w:rPr>
              <w:t>：</w:t>
            </w:r>
            <w:r>
              <w:rPr>
                <w:rFonts w:hint="eastAsia" w:hAnsi="宋体"/>
                <w:color w:val="000000" w:themeColor="text1"/>
                <w:kern w:val="0"/>
                <w:sz w:val="24"/>
                <w14:textFill>
                  <w14:solidFill>
                    <w14:schemeClr w14:val="tx1"/>
                  </w14:solidFill>
                </w14:textFill>
              </w:rPr>
              <w:t>陈列丽水市的各类非遗项目，为了方便查看，设立搜索框，通过关键词进行搜索</w:t>
            </w:r>
            <w:r>
              <w:rPr>
                <w:rFonts w:hint="eastAsia" w:hAnsi="宋体"/>
                <w:color w:val="000000" w:themeColor="text1"/>
                <w:kern w:val="0"/>
                <w:sz w:val="24"/>
                <w:lang w:val="zh-CN"/>
                <w14:textFill>
                  <w14:solidFill>
                    <w14:schemeClr w14:val="tx1"/>
                  </w14:solidFill>
                </w14:textFill>
              </w:rPr>
              <w:t>。</w:t>
            </w:r>
          </w:p>
          <w:p w14:paraId="4F81E2A5">
            <w:pPr>
              <w:numPr>
                <w:ilvl w:val="0"/>
                <w:numId w:val="1"/>
              </w:num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14:textFill>
                  <w14:solidFill>
                    <w14:schemeClr w14:val="tx1"/>
                  </w14:solidFill>
                </w14:textFill>
              </w:rPr>
              <w:t>非遗传承人模块</w:t>
            </w:r>
            <w:r>
              <w:rPr>
                <w:rFonts w:hint="eastAsia" w:hAnsi="宋体"/>
                <w:color w:val="000000" w:themeColor="text1"/>
                <w:kern w:val="0"/>
                <w:sz w:val="24"/>
                <w:lang w:val="zh-CN"/>
                <w14:textFill>
                  <w14:solidFill>
                    <w14:schemeClr w14:val="tx1"/>
                  </w14:solidFill>
                </w14:textFill>
              </w:rPr>
              <w:t xml:space="preserve">：按姓名首字母展示， 点击传承人姓名进入详情页，展示其个人简介、代表作品、简要传承故事。   </w:t>
            </w:r>
          </w:p>
          <w:p w14:paraId="448BE8B6">
            <w:pPr>
              <w:numPr>
                <w:ilvl w:val="0"/>
                <w:numId w:val="1"/>
              </w:num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lang w:val="zh-CN"/>
                <w14:textFill>
                  <w14:solidFill>
                    <w14:schemeClr w14:val="tx1"/>
                  </w14:solidFill>
                </w14:textFill>
              </w:rPr>
              <w:t>非遗</w:t>
            </w:r>
            <w:r>
              <w:rPr>
                <w:rFonts w:hint="eastAsia" w:hAnsi="宋体"/>
                <w:color w:val="000000" w:themeColor="text1"/>
                <w:kern w:val="0"/>
                <w:sz w:val="24"/>
                <w14:textFill>
                  <w14:solidFill>
                    <w14:schemeClr w14:val="tx1"/>
                  </w14:solidFill>
                </w14:textFill>
              </w:rPr>
              <w:t>资讯模块:提供非遗新闻、活动等资讯，比如非遗所在地推出非遗活动、为了推动非遗项目录制纪录片等新闻让更多人了解非遗的情况。</w:t>
            </w:r>
          </w:p>
          <w:p w14:paraId="34E8CEFC">
            <w:pPr>
              <w:numPr>
                <w:ilvl w:val="0"/>
                <w:numId w:val="1"/>
              </w:numPr>
              <w:spacing w:line="360" w:lineRule="auto"/>
              <w:ind w:firstLine="480" w:firstLineChars="200"/>
              <w:rPr>
                <w:color w:val="000000"/>
                <w:sz w:val="24"/>
                <w:lang w:val="zh-CN"/>
              </w:rPr>
            </w:pPr>
            <w:r>
              <w:rPr>
                <w:rFonts w:hint="eastAsia" w:hAnsi="宋体"/>
                <w:color w:val="000000" w:themeColor="text1"/>
                <w:kern w:val="0"/>
                <w:sz w:val="24"/>
                <w14:textFill>
                  <w14:solidFill>
                    <w14:schemeClr w14:val="tx1"/>
                  </w14:solidFill>
                </w14:textFill>
              </w:rPr>
              <w:t>非遗活动模块：丽水市的各类非遗活动，点进页面就有详细的内容时间、地点、活动内容介绍，点击参加活动即可参加活动</w:t>
            </w:r>
            <w:r>
              <w:rPr>
                <w:rFonts w:hint="eastAsia"/>
                <w:color w:val="000000"/>
                <w:sz w:val="24"/>
                <w:lang w:val="zh-CN"/>
              </w:rPr>
              <w:t>。</w:t>
            </w:r>
          </w:p>
          <w:p w14:paraId="5C5537CD">
            <w:pPr>
              <w:numPr>
                <w:ilvl w:val="0"/>
                <w:numId w:val="1"/>
              </w:num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14:textFill>
                  <w14:solidFill>
                    <w14:schemeClr w14:val="tx1"/>
                  </w14:solidFill>
                </w14:textFill>
              </w:rPr>
              <w:t>非</w:t>
            </w:r>
            <w:r>
              <w:rPr>
                <w:rFonts w:hint="eastAsia" w:hAnsi="宋体"/>
                <w:color w:val="000000" w:themeColor="text1"/>
                <w:kern w:val="0"/>
                <w:sz w:val="24"/>
                <w:lang w:val="zh-CN"/>
                <w14:textFill>
                  <w14:solidFill>
                    <w14:schemeClr w14:val="tx1"/>
                  </w14:solidFill>
                </w14:textFill>
              </w:rPr>
              <w:t>遗传承故事</w:t>
            </w:r>
            <w:r>
              <w:rPr>
                <w:rFonts w:hint="eastAsia" w:hAnsi="宋体"/>
                <w:color w:val="000000" w:themeColor="text1"/>
                <w:kern w:val="0"/>
                <w:sz w:val="24"/>
                <w14:textFill>
                  <w14:solidFill>
                    <w14:schemeClr w14:val="tx1"/>
                  </w14:solidFill>
                </w14:textFill>
              </w:rPr>
              <w:t>模块</w:t>
            </w:r>
            <w:r>
              <w:rPr>
                <w:rFonts w:hint="eastAsia" w:hAnsi="宋体"/>
                <w:color w:val="000000" w:themeColor="text1"/>
                <w:kern w:val="0"/>
                <w:sz w:val="24"/>
                <w:lang w:val="zh-CN"/>
                <w14:textFill>
                  <w14:solidFill>
                    <w14:schemeClr w14:val="tx1"/>
                  </w14:solidFill>
                </w14:textFill>
              </w:rPr>
              <w:t>：展示非遗传承人的故事。</w:t>
            </w:r>
          </w:p>
          <w:p w14:paraId="3C901AEA">
            <w:pPr>
              <w:numPr>
                <w:ilvl w:val="0"/>
                <w:numId w:val="1"/>
              </w:numPr>
              <w:autoSpaceDE w:val="0"/>
              <w:autoSpaceDN w:val="0"/>
              <w:adjustRightInd w:val="0"/>
              <w:spacing w:line="360" w:lineRule="auto"/>
              <w:ind w:firstLine="480" w:firstLineChars="200"/>
              <w:rPr>
                <w:rFonts w:hint="eastAsia" w:hAnsi="宋体"/>
                <w:color w:val="000000" w:themeColor="text1"/>
                <w:kern w:val="0"/>
                <w:sz w:val="24"/>
                <w:lang w:val="zh-CN"/>
                <w14:textFill>
                  <w14:solidFill>
                    <w14:schemeClr w14:val="tx1"/>
                  </w14:solidFill>
                </w14:textFill>
              </w:rPr>
            </w:pPr>
            <w:r>
              <w:rPr>
                <w:rFonts w:hint="eastAsia" w:hAnsi="宋体"/>
                <w:color w:val="000000" w:themeColor="text1"/>
                <w:kern w:val="0"/>
                <w:sz w:val="24"/>
                <w:lang w:val="zh-CN"/>
                <w14:textFill>
                  <w14:solidFill>
                    <w14:schemeClr w14:val="tx1"/>
                  </w14:solidFill>
                </w14:textFill>
              </w:rPr>
              <w:t>后台管理：管理员拥有完整的非遗项目信息管理权限，可以添加、编辑或删除项目信息包括文字、图片、音频等；</w:t>
            </w:r>
            <w:r>
              <w:rPr>
                <w:rFonts w:hint="eastAsia" w:hAnsi="宋体"/>
                <w:color w:val="000000" w:themeColor="text1"/>
                <w:kern w:val="0"/>
                <w:sz w:val="24"/>
                <w14:textFill>
                  <w14:solidFill>
                    <w14:schemeClr w14:val="tx1"/>
                  </w14:solidFill>
                </w14:textFill>
              </w:rPr>
              <w:t>还能够对用户进行管理，删除、编辑、添加用户账号</w:t>
            </w:r>
            <w:r>
              <w:rPr>
                <w:rFonts w:hint="eastAsia" w:hAnsi="宋体"/>
                <w:color w:val="000000" w:themeColor="text1"/>
                <w:kern w:val="0"/>
                <w:sz w:val="24"/>
                <w:lang w:val="zh-CN"/>
                <w14:textFill>
                  <w14:solidFill>
                    <w14:schemeClr w14:val="tx1"/>
                  </w14:solidFill>
                </w14:textFill>
              </w:rPr>
              <w:t>。</w:t>
            </w:r>
          </w:p>
          <w:p w14:paraId="56C78E90">
            <w:pPr>
              <w:topLinePunct/>
              <w:spacing w:line="360" w:lineRule="auto"/>
              <w:ind w:firstLine="562" w:firstLineChars="200"/>
              <w:rPr>
                <w:rFonts w:hint="eastAsia" w:hAnsi="宋体"/>
                <w:b/>
                <w:bCs/>
                <w:kern w:val="0"/>
                <w:sz w:val="28"/>
                <w:szCs w:val="28"/>
              </w:rPr>
            </w:pPr>
            <w:r>
              <w:rPr>
                <w:rFonts w:hint="eastAsia" w:hAnsi="宋体"/>
                <w:b/>
                <w:bCs/>
                <w:kern w:val="0"/>
                <w:sz w:val="28"/>
                <w:szCs w:val="28"/>
                <w:lang w:val="zh-CN"/>
              </w:rPr>
              <w:t>（</w:t>
            </w:r>
            <w:r>
              <w:rPr>
                <w:rFonts w:hint="eastAsia" w:hAnsi="宋体"/>
                <w:b/>
                <w:bCs/>
                <w:kern w:val="0"/>
                <w:sz w:val="28"/>
                <w:szCs w:val="28"/>
              </w:rPr>
              <w:t>二</w:t>
            </w:r>
            <w:r>
              <w:rPr>
                <w:rFonts w:hint="eastAsia" w:hAnsi="宋体"/>
                <w:b/>
                <w:bCs/>
                <w:kern w:val="0"/>
                <w:sz w:val="28"/>
                <w:szCs w:val="28"/>
                <w:lang w:val="zh-CN"/>
              </w:rPr>
              <w:t>）</w:t>
            </w:r>
            <w:r>
              <w:rPr>
                <w:rFonts w:hint="eastAsia" w:hAnsi="宋体"/>
                <w:b/>
                <w:bCs/>
                <w:kern w:val="0"/>
                <w:sz w:val="28"/>
                <w:szCs w:val="28"/>
              </w:rPr>
              <w:t>基本要求</w:t>
            </w:r>
          </w:p>
          <w:p w14:paraId="6CB6A1E8">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1. 能够自主地完成参考文献的查找，并且要有能够提炼文献精华以及总结文献的能力；</w:t>
            </w:r>
          </w:p>
          <w:p w14:paraId="00B107C0">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2. 能够使用Springboot和Vue来进行游戏的设计与开发；</w:t>
            </w:r>
          </w:p>
          <w:p w14:paraId="5EA25C66">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3. 能够通过自身来进行项目的创作；</w:t>
            </w:r>
          </w:p>
          <w:p w14:paraId="438B8CB7">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4. 网页设计要足够人性化，方便用户使用；</w:t>
            </w:r>
          </w:p>
          <w:p w14:paraId="239C3FC2">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5. 项目制作过程中反复测试，修复项目中的漏洞；</w:t>
            </w:r>
          </w:p>
          <w:p w14:paraId="6AFA00AE">
            <w:pPr>
              <w:autoSpaceDE w:val="0"/>
              <w:autoSpaceDN w:val="0"/>
              <w:adjustRightInd w:val="0"/>
              <w:spacing w:line="360" w:lineRule="auto"/>
              <w:ind w:firstLine="480" w:firstLineChars="200"/>
              <w:rPr>
                <w:rFonts w:hint="eastAsia" w:hAnsi="宋体"/>
                <w:bCs/>
                <w:color w:val="000000" w:themeColor="text1"/>
                <w:kern w:val="0"/>
                <w:sz w:val="24"/>
                <w14:textFill>
                  <w14:solidFill>
                    <w14:schemeClr w14:val="tx1"/>
                  </w14:solidFill>
                </w14:textFill>
              </w:rPr>
            </w:pPr>
            <w:r>
              <w:rPr>
                <w:rFonts w:hint="eastAsia" w:hAnsi="宋体"/>
                <w:bCs/>
                <w:color w:val="000000" w:themeColor="text1"/>
                <w:kern w:val="0"/>
                <w:sz w:val="24"/>
                <w14:textFill>
                  <w14:solidFill>
                    <w14:schemeClr w14:val="tx1"/>
                  </w14:solidFill>
                </w14:textFill>
              </w:rPr>
              <w:t>6. 能够合理地规划网页的设计，将网页的布局在能够让用户接受的范围内；</w:t>
            </w:r>
          </w:p>
          <w:p w14:paraId="4276402A">
            <w:pPr>
              <w:topLinePunct/>
              <w:spacing w:line="360" w:lineRule="auto"/>
              <w:ind w:firstLine="480" w:firstLineChars="200"/>
              <w:rPr>
                <w:rFonts w:hint="eastAsia" w:ascii="宋体" w:hAnsi="宋体"/>
                <w:sz w:val="24"/>
              </w:rPr>
            </w:pPr>
            <w:r>
              <w:rPr>
                <w:rFonts w:hint="eastAsia" w:hAnsi="宋体"/>
                <w:bCs/>
                <w:color w:val="000000" w:themeColor="text1"/>
                <w:kern w:val="0"/>
                <w:sz w:val="24"/>
                <w14:textFill>
                  <w14:solidFill>
                    <w14:schemeClr w14:val="tx1"/>
                  </w14:solidFill>
                </w14:textFill>
              </w:rPr>
              <w:t>7. 项目要设计得足够合理，且制作的图片素材风格和非遗项目要保持一致。</w:t>
            </w:r>
          </w:p>
        </w:tc>
      </w:tr>
      <w:tr w14:paraId="1AD85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6" w:hRule="atLeast"/>
        </w:trPr>
        <w:tc>
          <w:tcPr>
            <w:tcW w:w="8801" w:type="dxa"/>
            <w:gridSpan w:val="4"/>
            <w:tcBorders>
              <w:top w:val="single" w:color="auto" w:sz="4" w:space="0"/>
              <w:left w:val="single" w:color="auto" w:sz="12" w:space="0"/>
              <w:bottom w:val="single" w:color="auto" w:sz="4" w:space="0"/>
              <w:right w:val="single" w:color="auto" w:sz="12" w:space="0"/>
            </w:tcBorders>
          </w:tcPr>
          <w:p w14:paraId="007CCF6C">
            <w:pPr>
              <w:topLinePunct/>
              <w:spacing w:before="156" w:beforeLines="50" w:after="156" w:afterLines="50" w:line="360" w:lineRule="auto"/>
              <w:rPr>
                <w:b/>
                <w:bCs/>
                <w:sz w:val="32"/>
                <w:szCs w:val="32"/>
              </w:rPr>
            </w:pPr>
            <w:bookmarkStart w:id="3" w:name="_Hlk211547930"/>
            <w:r>
              <w:rPr>
                <w:b/>
                <w:bCs/>
                <w:sz w:val="32"/>
                <w:szCs w:val="32"/>
              </w:rPr>
              <w:t>三、主要参考文献</w:t>
            </w:r>
          </w:p>
          <w:p w14:paraId="4ED878C3">
            <w:pPr>
              <w:wordWrap w:val="0"/>
              <w:topLinePunct/>
              <w:autoSpaceDE w:val="0"/>
              <w:adjustRightInd w:val="0"/>
              <w:snapToGrid w:val="0"/>
              <w:spacing w:line="360" w:lineRule="auto"/>
              <w:rPr>
                <w:color w:val="000000"/>
              </w:rPr>
            </w:pPr>
            <w:bookmarkStart w:id="4" w:name="_Ref14208"/>
            <w:r>
              <w:rPr>
                <w:rFonts w:hint="eastAsia"/>
                <w:color w:val="000000"/>
              </w:rPr>
              <w:t>[1] 马晓娜,图拉,徐迎庆. 非物质文化遗产数字化发展现状[J].中国科学:信息科学,2019,49(02):121-142.</w:t>
            </w:r>
            <w:bookmarkEnd w:id="4"/>
          </w:p>
          <w:p w14:paraId="7270111D">
            <w:pPr>
              <w:wordWrap w:val="0"/>
              <w:topLinePunct/>
              <w:autoSpaceDE w:val="0"/>
              <w:adjustRightInd w:val="0"/>
              <w:snapToGrid w:val="0"/>
              <w:spacing w:line="360" w:lineRule="auto"/>
              <w:rPr>
                <w:color w:val="000000"/>
              </w:rPr>
            </w:pPr>
            <w:bookmarkStart w:id="5" w:name="_Ref14603"/>
            <w:r>
              <w:rPr>
                <w:rFonts w:hint="eastAsia"/>
                <w:color w:val="000000"/>
              </w:rPr>
              <w:t>[2] 郭延龙,孙玉洁. 非遗技艺数字化保护的发展趋势研究——基于CiteSpace科学知识图谱的可视化分析[J].长江师范学院学报,2025,41(01):125-132.</w:t>
            </w:r>
            <w:bookmarkEnd w:id="5"/>
          </w:p>
          <w:p w14:paraId="0BD629F2">
            <w:pPr>
              <w:wordWrap w:val="0"/>
              <w:topLinePunct/>
              <w:autoSpaceDE w:val="0"/>
              <w:adjustRightInd w:val="0"/>
              <w:snapToGrid w:val="0"/>
              <w:spacing w:line="360" w:lineRule="auto"/>
              <w:rPr>
                <w:color w:val="000000"/>
              </w:rPr>
            </w:pPr>
            <w:bookmarkStart w:id="6" w:name="_Ref15099"/>
            <w:r>
              <w:rPr>
                <w:rFonts w:hint="eastAsia"/>
                <w:color w:val="000000"/>
              </w:rPr>
              <w:t>[3] 田丽.非遗档案的数字化传承与文化产业价值开发[J].山西档案,2025,(01):91-94.</w:t>
            </w:r>
            <w:bookmarkEnd w:id="6"/>
          </w:p>
          <w:p w14:paraId="6A4F7CF9">
            <w:pPr>
              <w:wordWrap w:val="0"/>
              <w:topLinePunct/>
              <w:autoSpaceDE w:val="0"/>
              <w:adjustRightInd w:val="0"/>
              <w:snapToGrid w:val="0"/>
              <w:spacing w:line="360" w:lineRule="auto"/>
              <w:rPr>
                <w:color w:val="000000"/>
              </w:rPr>
            </w:pPr>
            <w:bookmarkStart w:id="7" w:name="_Ref15347"/>
            <w:r>
              <w:rPr>
                <w:rFonts w:hint="eastAsia"/>
                <w:color w:val="000000"/>
              </w:rPr>
              <w:t>[4] 王晨阳,刘魁立,朝戈金,等.“非遗保护传承与中国式现代化进程”笔谈[J].民俗研究,2023,(06):5-25.</w:t>
            </w:r>
            <w:bookmarkEnd w:id="7"/>
          </w:p>
          <w:p w14:paraId="540BE87E">
            <w:pPr>
              <w:wordWrap w:val="0"/>
              <w:topLinePunct/>
              <w:autoSpaceDE w:val="0"/>
              <w:adjustRightInd w:val="0"/>
              <w:snapToGrid w:val="0"/>
              <w:spacing w:line="360" w:lineRule="auto"/>
              <w:rPr>
                <w:color w:val="000000"/>
              </w:rPr>
            </w:pPr>
            <w:bookmarkStart w:id="8" w:name="_Ref15769"/>
            <w:r>
              <w:rPr>
                <w:rFonts w:hint="eastAsia"/>
                <w:color w:val="000000"/>
              </w:rPr>
              <w:t>[5] 周安涛.非物质文化遗产数字化保护与共享研究[J].山西档案,2019,(02):136-138.</w:t>
            </w:r>
            <w:bookmarkEnd w:id="8"/>
          </w:p>
          <w:p w14:paraId="24B27EAF">
            <w:pPr>
              <w:wordWrap w:val="0"/>
              <w:topLinePunct/>
              <w:autoSpaceDE w:val="0"/>
              <w:adjustRightInd w:val="0"/>
              <w:snapToGrid w:val="0"/>
              <w:spacing w:line="360" w:lineRule="auto"/>
              <w:rPr>
                <w:color w:val="000000"/>
              </w:rPr>
            </w:pPr>
            <w:bookmarkStart w:id="9" w:name="_Ref15981"/>
            <w:r>
              <w:rPr>
                <w:rFonts w:hint="eastAsia"/>
                <w:color w:val="000000"/>
              </w:rPr>
              <w:t>[6] 刘昕睿.非遗传文脉群文焕新章[J].文化产业,2025,(25):34-36.</w:t>
            </w:r>
            <w:bookmarkEnd w:id="9"/>
          </w:p>
          <w:p w14:paraId="27684B0F">
            <w:pPr>
              <w:wordWrap w:val="0"/>
              <w:topLinePunct/>
              <w:autoSpaceDE w:val="0"/>
              <w:adjustRightInd w:val="0"/>
              <w:snapToGrid w:val="0"/>
              <w:spacing w:line="360" w:lineRule="auto"/>
              <w:rPr>
                <w:color w:val="000000"/>
              </w:rPr>
            </w:pPr>
            <w:bookmarkStart w:id="10" w:name="_Ref16262"/>
            <w:r>
              <w:rPr>
                <w:rFonts w:hint="eastAsia"/>
                <w:color w:val="000000"/>
              </w:rPr>
              <w:t>[7] 杨学晨.“非物质性”在非遗展览中的应用策略初探——基于国家大剧院非遗展览的案例分析[J].文物天地,2024,(S2):115-119.</w:t>
            </w:r>
            <w:bookmarkEnd w:id="10"/>
          </w:p>
          <w:p w14:paraId="7D89DFE2">
            <w:pPr>
              <w:wordWrap w:val="0"/>
              <w:topLinePunct/>
              <w:autoSpaceDE w:val="0"/>
              <w:adjustRightInd w:val="0"/>
              <w:snapToGrid w:val="0"/>
              <w:spacing w:line="360" w:lineRule="auto"/>
              <w:rPr>
                <w:color w:val="000000"/>
              </w:rPr>
            </w:pPr>
            <w:bookmarkStart w:id="11" w:name="_Ref16503"/>
            <w:r>
              <w:rPr>
                <w:rFonts w:hint="eastAsia"/>
                <w:color w:val="000000"/>
              </w:rPr>
              <w:t>[8] 邢海岚,张春磊.基于文献计量学的国内外非物质文化遗产传承发展态势分析[J].工业设计研究,2024,(00):272-282.</w:t>
            </w:r>
            <w:bookmarkEnd w:id="11"/>
          </w:p>
          <w:p w14:paraId="06198706">
            <w:pPr>
              <w:numPr>
                <w:ilvl w:val="0"/>
                <w:numId w:val="0"/>
              </w:numPr>
              <w:wordWrap w:val="0"/>
              <w:topLinePunct/>
              <w:autoSpaceDE w:val="0"/>
              <w:adjustRightInd w:val="0"/>
              <w:snapToGrid w:val="0"/>
              <w:spacing w:line="360" w:lineRule="auto"/>
              <w:rPr>
                <w:rFonts w:hint="eastAsia"/>
                <w:color w:val="000000"/>
              </w:rPr>
            </w:pPr>
            <w:bookmarkStart w:id="12" w:name="_Ref16745"/>
            <w:r>
              <w:rPr>
                <w:rFonts w:hint="eastAsia"/>
                <w:color w:val="000000"/>
              </w:rPr>
              <w:t xml:space="preserve">[9] </w:t>
            </w:r>
            <w:bookmarkEnd w:id="12"/>
            <w:r>
              <w:rPr>
                <w:rFonts w:hint="eastAsia"/>
                <w:color w:val="000000"/>
              </w:rPr>
              <w:t>何春雨,滕春娥.重塑与提振——非物质文化遗产在乡村振兴战略中的作用机理及实现路径研究[J].牡丹江师范学院学报(社会科学版),2025,(05):47-53.</w:t>
            </w:r>
          </w:p>
          <w:p w14:paraId="5BC18064">
            <w:pPr>
              <w:wordWrap w:val="0"/>
              <w:topLinePunct/>
              <w:autoSpaceDE w:val="0"/>
              <w:adjustRightInd w:val="0"/>
              <w:snapToGrid w:val="0"/>
              <w:spacing w:line="360" w:lineRule="auto"/>
              <w:rPr>
                <w:color w:val="000000"/>
              </w:rPr>
            </w:pPr>
          </w:p>
          <w:p w14:paraId="31A42395">
            <w:pPr>
              <w:wordWrap w:val="0"/>
              <w:topLinePunct/>
              <w:autoSpaceDE w:val="0"/>
              <w:adjustRightInd w:val="0"/>
              <w:snapToGrid w:val="0"/>
              <w:spacing w:line="360" w:lineRule="auto"/>
              <w:rPr>
                <w:color w:val="000000"/>
              </w:rPr>
            </w:pPr>
            <w:bookmarkStart w:id="13" w:name="_Ref16990"/>
            <w:r>
              <w:rPr>
                <w:rFonts w:hint="eastAsia"/>
                <w:color w:val="000000"/>
              </w:rPr>
              <w:t>[10]孙佐.新质生产力驱动非物质文化遗产的活态传承与创新发展[J].广西民族大学学报(哲学社会科学版),2025,47(04):103-110.</w:t>
            </w:r>
            <w:bookmarkEnd w:id="13"/>
          </w:p>
          <w:p w14:paraId="5D81109C">
            <w:pPr>
              <w:wordWrap w:val="0"/>
              <w:topLinePunct/>
              <w:autoSpaceDE w:val="0"/>
              <w:adjustRightInd w:val="0"/>
              <w:snapToGrid w:val="0"/>
              <w:spacing w:line="360" w:lineRule="auto"/>
              <w:rPr>
                <w:color w:val="000000"/>
              </w:rPr>
            </w:pPr>
            <w:bookmarkStart w:id="14" w:name="_Ref17620"/>
            <w:r>
              <w:rPr>
                <w:rFonts w:hint="eastAsia"/>
                <w:color w:val="000000"/>
              </w:rPr>
              <w:t>[11]甘代军,高唯唯.非物质文化遗产保护的现代性困境及其突破[J].云南师范大学学报(哲学社会科学版),2024,56(03):109-117.</w:t>
            </w:r>
            <w:bookmarkEnd w:id="14"/>
          </w:p>
          <w:p w14:paraId="751944C7">
            <w:pPr>
              <w:wordWrap w:val="0"/>
              <w:topLinePunct/>
              <w:autoSpaceDE w:val="0"/>
              <w:adjustRightInd w:val="0"/>
              <w:snapToGrid w:val="0"/>
              <w:spacing w:line="360" w:lineRule="auto"/>
              <w:rPr>
                <w:color w:val="000000"/>
              </w:rPr>
            </w:pPr>
            <w:bookmarkStart w:id="15" w:name="_Ref18326"/>
            <w:r>
              <w:rPr>
                <w:rFonts w:hint="eastAsia"/>
                <w:color w:val="000000"/>
              </w:rPr>
              <w:t>[12]萧放,席辉.非物质文化遗产文化空间的基本特征与保护原则[J].文化遗产,2022,(01):9-16.</w:t>
            </w:r>
            <w:bookmarkEnd w:id="15"/>
          </w:p>
          <w:p w14:paraId="29358D60">
            <w:pPr>
              <w:wordWrap w:val="0"/>
              <w:topLinePunct/>
              <w:autoSpaceDE w:val="0"/>
              <w:adjustRightInd w:val="0"/>
              <w:snapToGrid w:val="0"/>
              <w:spacing w:line="360" w:lineRule="auto"/>
              <w:rPr>
                <w:color w:val="000000"/>
              </w:rPr>
            </w:pPr>
            <w:bookmarkStart w:id="16" w:name="_Ref18577"/>
            <w:r>
              <w:rPr>
                <w:rFonts w:hint="eastAsia"/>
                <w:color w:val="000000"/>
              </w:rPr>
              <w:t>[13]马海然.非物质文化遗产双重私法保护模式探析[J].民族艺术研究,2024,37(06):100-108.</w:t>
            </w:r>
            <w:bookmarkEnd w:id="16"/>
          </w:p>
          <w:p w14:paraId="61A23F0E">
            <w:pPr>
              <w:wordWrap w:val="0"/>
              <w:topLinePunct/>
              <w:autoSpaceDE w:val="0"/>
              <w:adjustRightInd w:val="0"/>
              <w:snapToGrid w:val="0"/>
              <w:spacing w:line="360" w:lineRule="auto"/>
              <w:rPr>
                <w:color w:val="000000"/>
              </w:rPr>
            </w:pPr>
            <w:bookmarkStart w:id="17" w:name="_Ref18926"/>
            <w:r>
              <w:rPr>
                <w:rFonts w:hint="eastAsia"/>
                <w:color w:val="000000"/>
              </w:rPr>
              <w:t>[14]林琰,李惠芬.非物质文化遗产的保护机制与活化路径[J].南京社会科学,2023,(03):151-160.</w:t>
            </w:r>
            <w:bookmarkEnd w:id="17"/>
          </w:p>
          <w:p w14:paraId="5D014982">
            <w:pPr>
              <w:wordWrap w:val="0"/>
              <w:topLinePunct/>
              <w:autoSpaceDE w:val="0"/>
              <w:adjustRightInd w:val="0"/>
              <w:snapToGrid w:val="0"/>
              <w:spacing w:line="360" w:lineRule="auto"/>
              <w:rPr>
                <w:color w:val="000000"/>
              </w:rPr>
            </w:pPr>
            <w:bookmarkStart w:id="18" w:name="_Ref19122"/>
            <w:r>
              <w:rPr>
                <w:rFonts w:hint="eastAsia"/>
                <w:color w:val="000000"/>
              </w:rPr>
              <w:t>[15]林加.传播与传承：非物质文化遗产短视频的创新发展路径[J].中国编辑,2023,(05):98-103.</w:t>
            </w:r>
            <w:bookmarkEnd w:id="18"/>
          </w:p>
          <w:p w14:paraId="7FFF7EBC">
            <w:pPr>
              <w:wordWrap w:val="0"/>
              <w:topLinePunct/>
              <w:autoSpaceDE w:val="0"/>
              <w:adjustRightInd w:val="0"/>
              <w:snapToGrid w:val="0"/>
              <w:spacing w:line="360" w:lineRule="auto"/>
              <w:rPr>
                <w:color w:val="000000"/>
              </w:rPr>
            </w:pPr>
            <w:bookmarkStart w:id="19" w:name="_Ref25043"/>
            <w:r>
              <w:rPr>
                <w:rFonts w:hint="eastAsia"/>
                <w:color w:val="000000"/>
              </w:rPr>
              <w:t>[16]Mengna L ,Nasir M B N D .Research on the Paths and Strategies for the International Dissemination of China's Intangible Cultural Heritage from the Perspective of Digital Empowerment[J].Art and Performance Letters,2025,6(3).</w:t>
            </w:r>
            <w:bookmarkEnd w:id="19"/>
          </w:p>
          <w:p w14:paraId="342623BC">
            <w:pPr>
              <w:wordWrap w:val="0"/>
              <w:topLinePunct/>
              <w:autoSpaceDE w:val="0"/>
              <w:adjustRightInd w:val="0"/>
              <w:snapToGrid w:val="0"/>
              <w:spacing w:line="360" w:lineRule="auto"/>
              <w:rPr>
                <w:color w:val="000000"/>
              </w:rPr>
            </w:pPr>
            <w:bookmarkStart w:id="20" w:name="_Ref25206"/>
            <w:r>
              <w:rPr>
                <w:rFonts w:hint="eastAsia"/>
                <w:color w:val="000000"/>
              </w:rPr>
              <w:t>[17]Li J .A Comparative Study on the Inheritance of "Intangible Cultural Heritage" in China, Japan and South Korea[J].Academic Journal of Humanities &amp; Social Sciences,2022,5.0(2.0).</w:t>
            </w:r>
            <w:bookmarkEnd w:id="20"/>
          </w:p>
          <w:p w14:paraId="36BAE644">
            <w:pPr>
              <w:wordWrap w:val="0"/>
              <w:topLinePunct/>
              <w:autoSpaceDE w:val="0"/>
              <w:adjustRightInd w:val="0"/>
              <w:snapToGrid w:val="0"/>
              <w:spacing w:line="360" w:lineRule="auto"/>
              <w:rPr>
                <w:color w:val="000000"/>
              </w:rPr>
            </w:pPr>
            <w:bookmarkStart w:id="21" w:name="_Ref25418"/>
            <w:r>
              <w:rPr>
                <w:rFonts w:hint="eastAsia"/>
                <w:color w:val="000000"/>
              </w:rPr>
              <w:t>[18]Wute W .Research on the protection and inheritance of intangible cultural heritage industry of ethnic minorities with small population in China[J].The Frontiers of Society, Science and Technology,2021,3.0(8.0).</w:t>
            </w:r>
            <w:bookmarkEnd w:id="21"/>
          </w:p>
          <w:p w14:paraId="521CB797">
            <w:pPr>
              <w:wordWrap w:val="0"/>
              <w:topLinePunct/>
              <w:autoSpaceDE w:val="0"/>
              <w:adjustRightInd w:val="0"/>
              <w:snapToGrid w:val="0"/>
              <w:spacing w:line="360" w:lineRule="auto"/>
              <w:rPr>
                <w:color w:val="000000"/>
              </w:rPr>
            </w:pPr>
            <w:bookmarkStart w:id="22" w:name="_Ref25556"/>
            <w:r>
              <w:rPr>
                <w:color w:val="000000"/>
              </w:rPr>
              <w:t>[19]</w:t>
            </w:r>
            <w:r>
              <w:rPr>
                <w:rFonts w:hint="eastAsia"/>
                <w:color w:val="000000"/>
              </w:rPr>
              <w:t>Wu J .Reference for the Digital Protection of Sports Intangible Culture Heritage in the United States and Japan[J].Arts Studies and Criticism,2025,6(3).</w:t>
            </w:r>
            <w:bookmarkEnd w:id="22"/>
          </w:p>
          <w:p w14:paraId="3D024076">
            <w:pPr>
              <w:wordWrap w:val="0"/>
              <w:topLinePunct/>
              <w:autoSpaceDE w:val="0"/>
              <w:adjustRightInd w:val="0"/>
              <w:snapToGrid w:val="0"/>
              <w:spacing w:line="360" w:lineRule="auto"/>
              <w:rPr>
                <w:color w:val="000000"/>
              </w:rPr>
            </w:pPr>
            <w:bookmarkStart w:id="23" w:name="_Ref25569"/>
            <w:r>
              <w:rPr>
                <w:color w:val="000000"/>
              </w:rPr>
              <w:t>[20]Tong C ,Kim H .Intangible Cultural Heritage Based on AR Technology[J].Academic Journal of Humanities &amp; Social Sciences,2021,4.0(12.0)</w:t>
            </w:r>
            <w:r>
              <w:rPr>
                <w:rFonts w:hint="eastAsia"/>
                <w:color w:val="000000"/>
              </w:rPr>
              <w:t>.</w:t>
            </w:r>
            <w:bookmarkEnd w:id="23"/>
          </w:p>
          <w:p w14:paraId="730C5E7D">
            <w:pPr>
              <w:topLinePunct/>
              <w:spacing w:line="360" w:lineRule="auto"/>
              <w:rPr>
                <w:bCs/>
                <w:szCs w:val="21"/>
              </w:rPr>
            </w:pPr>
          </w:p>
        </w:tc>
      </w:tr>
      <w:bookmarkEnd w:id="3"/>
      <w:tr w14:paraId="04D2B4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91" w:hRule="atLeast"/>
        </w:trPr>
        <w:tc>
          <w:tcPr>
            <w:tcW w:w="8801" w:type="dxa"/>
            <w:gridSpan w:val="4"/>
            <w:tcBorders>
              <w:top w:val="single" w:color="auto" w:sz="4" w:space="0"/>
              <w:left w:val="single" w:color="auto" w:sz="12" w:space="0"/>
              <w:bottom w:val="single" w:color="auto" w:sz="4" w:space="0"/>
              <w:right w:val="single" w:color="auto" w:sz="12" w:space="0"/>
            </w:tcBorders>
          </w:tcPr>
          <w:p w14:paraId="082B8A15">
            <w:pPr>
              <w:topLinePunct/>
              <w:spacing w:before="156" w:beforeLines="50" w:after="156" w:afterLines="50" w:line="360" w:lineRule="auto"/>
              <w:rPr>
                <w:rFonts w:hint="eastAsia" w:ascii="宋体" w:hAnsi="宋体" w:cs="宋体"/>
                <w:b/>
                <w:bCs/>
                <w:sz w:val="32"/>
                <w:szCs w:val="32"/>
              </w:rPr>
            </w:pPr>
            <w:r>
              <w:rPr>
                <w:rFonts w:hint="eastAsia" w:ascii="宋体" w:hAnsi="宋体" w:cs="宋体"/>
                <w:b/>
                <w:bCs/>
                <w:sz w:val="32"/>
                <w:szCs w:val="32"/>
              </w:rPr>
              <w:t>四、外文翻译任务</w:t>
            </w:r>
          </w:p>
          <w:p w14:paraId="5E25B31B">
            <w:pPr>
              <w:numPr>
                <w:ilvl w:val="0"/>
                <w:numId w:val="2"/>
              </w:numPr>
              <w:wordWrap w:val="0"/>
              <w:autoSpaceDE w:val="0"/>
              <w:adjustRightInd w:val="0"/>
              <w:snapToGrid w:val="0"/>
              <w:spacing w:line="360" w:lineRule="auto"/>
              <w:rPr>
                <w:bCs/>
                <w:sz w:val="24"/>
              </w:rPr>
            </w:pPr>
            <w:r>
              <w:rPr>
                <w:rFonts w:hint="eastAsia"/>
                <w:bCs/>
                <w:sz w:val="24"/>
              </w:rPr>
              <w:t xml:space="preserve">Tong C ,Kim H .Intangible Cultural Heritage Based on AR Technology[J].Academic </w:t>
            </w:r>
            <w:bookmarkStart w:id="24" w:name="_GoBack"/>
            <w:bookmarkEnd w:id="24"/>
            <w:r>
              <w:rPr>
                <w:rFonts w:hint="eastAsia"/>
                <w:bCs/>
                <w:sz w:val="24"/>
              </w:rPr>
              <w:t>Journal of Humanities &amp; Social Sciences,2021,4.0(12.0).</w:t>
            </w:r>
          </w:p>
          <w:p w14:paraId="386F2FAA">
            <w:pPr>
              <w:topLinePunct/>
              <w:spacing w:line="360" w:lineRule="auto"/>
              <w:ind w:left="600" w:hanging="600" w:hangingChars="250"/>
              <w:rPr>
                <w:color w:val="FF0000"/>
                <w:sz w:val="24"/>
                <w:lang w:val="en-AU"/>
              </w:rPr>
            </w:pPr>
          </w:p>
          <w:p w14:paraId="24B568DE">
            <w:pPr>
              <w:topLinePunct/>
              <w:spacing w:line="360" w:lineRule="auto"/>
              <w:rPr>
                <w:color w:val="FF0000"/>
                <w:kern w:val="0"/>
                <w:szCs w:val="21"/>
                <w:lang w:val="zh-CN"/>
              </w:rPr>
            </w:pPr>
            <w:r>
              <w:rPr>
                <w:kern w:val="0"/>
                <w:sz w:val="24"/>
                <w:lang w:val="zh-CN"/>
              </w:rPr>
              <w:t>翻译任务：阅读1篇（至少10000字符）的外文文献，翻译文献，并完成3000单词（</w:t>
            </w:r>
            <w:r>
              <w:rPr>
                <w:kern w:val="0"/>
                <w:sz w:val="24"/>
              </w:rPr>
              <w:t>不包括摘要和参考文献</w:t>
            </w:r>
            <w:r>
              <w:rPr>
                <w:kern w:val="0"/>
                <w:sz w:val="24"/>
                <w:lang w:val="zh-CN"/>
              </w:rPr>
              <w:t>）以上的英译汉翻译。</w:t>
            </w:r>
          </w:p>
        </w:tc>
      </w:tr>
      <w:tr w14:paraId="16E09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18" w:hRule="atLeast"/>
        </w:trPr>
        <w:tc>
          <w:tcPr>
            <w:tcW w:w="8801" w:type="dxa"/>
            <w:gridSpan w:val="4"/>
            <w:tcBorders>
              <w:top w:val="single" w:color="auto" w:sz="4" w:space="0"/>
              <w:left w:val="single" w:color="auto" w:sz="12" w:space="0"/>
              <w:bottom w:val="single" w:color="auto" w:sz="4" w:space="0"/>
              <w:right w:val="single" w:color="auto" w:sz="12" w:space="0"/>
            </w:tcBorders>
          </w:tcPr>
          <w:p w14:paraId="1AF816F1">
            <w:pPr>
              <w:topLinePunct/>
              <w:spacing w:before="156" w:beforeLines="50" w:after="156" w:afterLines="50" w:line="360" w:lineRule="auto"/>
              <w:rPr>
                <w:rFonts w:hint="eastAsia" w:ascii="宋体" w:hAnsi="宋体" w:cs="宋体"/>
                <w:b/>
                <w:bCs/>
                <w:sz w:val="32"/>
                <w:szCs w:val="32"/>
              </w:rPr>
            </w:pPr>
            <w:r>
              <w:rPr>
                <w:rFonts w:hint="eastAsia" w:ascii="宋体" w:hAnsi="宋体" w:cs="宋体"/>
                <w:b/>
                <w:bCs/>
                <w:sz w:val="32"/>
                <w:szCs w:val="32"/>
              </w:rPr>
              <w:t>五、计划进度</w:t>
            </w:r>
          </w:p>
          <w:p w14:paraId="2B5ECC7F">
            <w:pPr>
              <w:topLinePunct/>
              <w:spacing w:line="360" w:lineRule="auto"/>
              <w:rPr>
                <w:sz w:val="24"/>
              </w:rPr>
            </w:pPr>
            <w:r>
              <w:rPr>
                <w:rFonts w:hint="eastAsia"/>
                <w:sz w:val="24"/>
              </w:rPr>
              <w:t>2025.09.15～2025.09.20 选题,下发任务书。</w:t>
            </w:r>
          </w:p>
          <w:p w14:paraId="401CB037">
            <w:pPr>
              <w:topLinePunct/>
              <w:spacing w:line="360" w:lineRule="auto"/>
              <w:ind w:left="2520" w:hanging="2520" w:hangingChars="1050"/>
              <w:rPr>
                <w:sz w:val="24"/>
              </w:rPr>
            </w:pPr>
            <w:r>
              <w:rPr>
                <w:rFonts w:hint="eastAsia"/>
                <w:sz w:val="24"/>
              </w:rPr>
              <w:t>2025.09.20～2025.11.08 查找资料，完成外文翻译，撰写文献综述和开题报告，开题答辩。</w:t>
            </w:r>
          </w:p>
          <w:p w14:paraId="53C43E82">
            <w:pPr>
              <w:topLinePunct/>
              <w:spacing w:line="360" w:lineRule="auto"/>
              <w:ind w:left="2520" w:hanging="2520" w:hangingChars="1050"/>
              <w:rPr>
                <w:sz w:val="24"/>
              </w:rPr>
            </w:pPr>
            <w:r>
              <w:rPr>
                <w:rFonts w:hint="eastAsia"/>
                <w:sz w:val="24"/>
              </w:rPr>
              <w:t>2025.11.08～2026.01.20 按开题答辩意见修改完善文档后，开展课题设计，完成中期检查。</w:t>
            </w:r>
          </w:p>
          <w:p w14:paraId="587AAD09">
            <w:pPr>
              <w:topLinePunct/>
              <w:spacing w:line="360" w:lineRule="auto"/>
              <w:rPr>
                <w:sz w:val="24"/>
              </w:rPr>
            </w:pPr>
            <w:r>
              <w:rPr>
                <w:rFonts w:hint="eastAsia"/>
                <w:sz w:val="24"/>
              </w:rPr>
              <w:t>2026.01.21～2026.03.20 撰写论文正文，完成论文初稿，进行第一次查重检测。</w:t>
            </w:r>
          </w:p>
          <w:p w14:paraId="7615C8AA">
            <w:pPr>
              <w:topLinePunct/>
              <w:spacing w:line="360" w:lineRule="auto"/>
              <w:rPr>
                <w:sz w:val="24"/>
              </w:rPr>
            </w:pPr>
            <w:r>
              <w:rPr>
                <w:rFonts w:hint="eastAsia"/>
                <w:sz w:val="24"/>
              </w:rPr>
              <w:t>2026.03.21～2026.03.30 完善论文并参加毕业论文预答辩。</w:t>
            </w:r>
          </w:p>
          <w:p w14:paraId="46D4F611">
            <w:pPr>
              <w:topLinePunct/>
              <w:spacing w:line="360" w:lineRule="auto"/>
              <w:rPr>
                <w:sz w:val="24"/>
              </w:rPr>
            </w:pPr>
            <w:r>
              <w:rPr>
                <w:rFonts w:hint="eastAsia"/>
                <w:sz w:val="24"/>
              </w:rPr>
              <w:t>2026.04.01～2026.04.12 根据指导老师意见修改论文，进行第二次查重检测。</w:t>
            </w:r>
          </w:p>
          <w:p w14:paraId="0BAE08C0">
            <w:pPr>
              <w:topLinePunct/>
              <w:spacing w:line="360" w:lineRule="auto"/>
              <w:ind w:left="2520" w:hanging="2520" w:hangingChars="1050"/>
              <w:rPr>
                <w:sz w:val="24"/>
              </w:rPr>
            </w:pPr>
            <w:r>
              <w:rPr>
                <w:rFonts w:hint="eastAsia"/>
                <w:sz w:val="24"/>
              </w:rPr>
              <w:t>2026.04.13～2026.04.20 根据交叉评阅老师意见修改论文，完成毕业论文定稿查重，准备答辩材料。</w:t>
            </w:r>
          </w:p>
          <w:p w14:paraId="24935EE9">
            <w:pPr>
              <w:topLinePunct/>
              <w:spacing w:line="360" w:lineRule="auto"/>
              <w:rPr>
                <w:sz w:val="24"/>
              </w:rPr>
            </w:pPr>
            <w:r>
              <w:rPr>
                <w:rFonts w:hint="eastAsia"/>
                <w:sz w:val="24"/>
              </w:rPr>
              <w:t>2026.04.21～2026.04.30 毕业论文定稿，完成论文答辩，毕业材料归档。</w:t>
            </w:r>
          </w:p>
          <w:p w14:paraId="22663A93">
            <w:pPr>
              <w:topLinePunct/>
              <w:spacing w:line="360" w:lineRule="auto"/>
              <w:ind w:left="2520" w:hanging="2520" w:hangingChars="1050"/>
              <w:rPr>
                <w:sz w:val="24"/>
              </w:rPr>
            </w:pPr>
            <w:r>
              <w:rPr>
                <w:rFonts w:hint="eastAsia"/>
                <w:sz w:val="24"/>
              </w:rPr>
              <w:t>2026.05.01～2026.05.15 最终版毕业论文(设计)原文(PDF格式)及附件上传论文平台。</w:t>
            </w:r>
          </w:p>
        </w:tc>
      </w:tr>
      <w:tr w14:paraId="3520E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61" w:hRule="atLeast"/>
        </w:trPr>
        <w:tc>
          <w:tcPr>
            <w:tcW w:w="1232" w:type="dxa"/>
            <w:tcBorders>
              <w:top w:val="single" w:color="auto" w:sz="4" w:space="0"/>
              <w:left w:val="single" w:color="auto" w:sz="12" w:space="0"/>
              <w:bottom w:val="single" w:color="auto" w:sz="4" w:space="0"/>
              <w:right w:val="single" w:color="auto" w:sz="4" w:space="0"/>
            </w:tcBorders>
            <w:vAlign w:val="center"/>
          </w:tcPr>
          <w:p w14:paraId="03110CDD">
            <w:pPr>
              <w:adjustRightInd w:val="0"/>
              <w:snapToGrid w:val="0"/>
              <w:jc w:val="center"/>
              <w:rPr>
                <w:rFonts w:hint="eastAsia" w:ascii="宋体" w:hAnsi="宋体" w:cs="宋体"/>
                <w:sz w:val="28"/>
                <w:lang w:val="zh-CN"/>
              </w:rPr>
            </w:pPr>
            <w:r>
              <w:rPr>
                <w:rFonts w:hint="eastAsia" w:ascii="宋体" w:hAnsi="宋体" w:cs="宋体"/>
                <w:sz w:val="28"/>
                <w:lang w:val="zh-CN"/>
              </w:rPr>
              <w:t>学生</w:t>
            </w:r>
          </w:p>
          <w:p w14:paraId="0FE749B6">
            <w:pPr>
              <w:adjustRightInd w:val="0"/>
              <w:snapToGrid w:val="0"/>
              <w:jc w:val="center"/>
              <w:rPr>
                <w:rFonts w:hint="eastAsia" w:ascii="宋体" w:hAnsi="宋体" w:cs="宋体"/>
                <w:sz w:val="28"/>
                <w:lang w:val="zh-CN"/>
              </w:rPr>
            </w:pPr>
            <w:r>
              <w:rPr>
                <w:rFonts w:hint="eastAsia" w:ascii="宋体" w:hAnsi="宋体" w:cs="宋体"/>
                <w:sz w:val="28"/>
                <w:lang w:val="zh-CN"/>
              </w:rPr>
              <w:t>（签名）</w:t>
            </w:r>
          </w:p>
        </w:tc>
        <w:tc>
          <w:tcPr>
            <w:tcW w:w="2864" w:type="dxa"/>
            <w:tcBorders>
              <w:top w:val="single" w:color="auto" w:sz="4" w:space="0"/>
              <w:left w:val="single" w:color="auto" w:sz="4" w:space="0"/>
              <w:bottom w:val="single" w:color="auto" w:sz="4" w:space="0"/>
              <w:right w:val="single" w:color="auto" w:sz="4" w:space="0"/>
            </w:tcBorders>
            <w:vAlign w:val="center"/>
          </w:tcPr>
          <w:p w14:paraId="72492BFD">
            <w:pPr>
              <w:adjustRightInd w:val="0"/>
              <w:snapToGrid w:val="0"/>
              <w:spacing w:before="180" w:line="300" w:lineRule="auto"/>
              <w:jc w:val="center"/>
              <w:rPr>
                <w:rFonts w:hint="eastAsia" w:ascii="宋体" w:hAnsi="宋体" w:cs="宋体"/>
                <w:sz w:val="24"/>
              </w:rPr>
            </w:pPr>
            <w:r>
              <w:rPr>
                <w:rFonts w:hint="eastAsia" w:ascii="宋体" w:hAnsi="宋体" w:cs="宋体"/>
                <w:sz w:val="24"/>
              </w:rPr>
              <w:t xml:space="preserve">   </w:t>
            </w:r>
          </w:p>
          <w:p w14:paraId="6A65F194">
            <w:pPr>
              <w:adjustRightInd w:val="0"/>
              <w:snapToGrid w:val="0"/>
              <w:spacing w:before="180" w:line="300" w:lineRule="auto"/>
              <w:ind w:right="105" w:rightChars="50"/>
              <w:jc w:val="right"/>
              <w:rPr>
                <w:rFonts w:hint="eastAsia" w:ascii="宋体" w:hAnsi="宋体"/>
                <w:b/>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4" w:space="0"/>
              <w:right w:val="single" w:color="auto" w:sz="4" w:space="0"/>
            </w:tcBorders>
            <w:vAlign w:val="center"/>
          </w:tcPr>
          <w:p w14:paraId="4A6DEF50">
            <w:pPr>
              <w:adjustRightInd w:val="0"/>
              <w:snapToGrid w:val="0"/>
              <w:jc w:val="center"/>
              <w:rPr>
                <w:rFonts w:hint="eastAsia" w:ascii="宋体" w:hAnsi="宋体" w:cs="宋体"/>
                <w:sz w:val="28"/>
                <w:lang w:val="zh-CN"/>
              </w:rPr>
            </w:pPr>
            <w:r>
              <w:rPr>
                <w:rFonts w:hint="eastAsia" w:ascii="宋体" w:hAnsi="宋体" w:cs="宋体"/>
                <w:sz w:val="28"/>
                <w:lang w:val="zh-CN"/>
              </w:rPr>
              <w:t>指导教师</w:t>
            </w:r>
          </w:p>
          <w:p w14:paraId="5F09DADD">
            <w:pPr>
              <w:adjustRightInd w:val="0"/>
              <w:snapToGrid w:val="0"/>
              <w:jc w:val="center"/>
              <w:rPr>
                <w:rFonts w:hint="eastAsia" w:ascii="宋体" w:hAnsi="宋体"/>
                <w:b/>
                <w:sz w:val="24"/>
              </w:rPr>
            </w:pPr>
            <w:r>
              <w:rPr>
                <w:rFonts w:hint="eastAsia" w:ascii="宋体" w:hAnsi="宋体" w:cs="宋体"/>
                <w:sz w:val="28"/>
                <w:lang w:val="zh-CN"/>
              </w:rPr>
              <w:t>（签名）</w:t>
            </w:r>
          </w:p>
        </w:tc>
        <w:tc>
          <w:tcPr>
            <w:tcW w:w="3260" w:type="dxa"/>
            <w:tcBorders>
              <w:top w:val="single" w:color="auto" w:sz="4" w:space="0"/>
              <w:left w:val="single" w:color="auto" w:sz="4" w:space="0"/>
              <w:bottom w:val="single" w:color="auto" w:sz="4" w:space="0"/>
              <w:right w:val="single" w:color="auto" w:sz="12" w:space="0"/>
            </w:tcBorders>
            <w:vAlign w:val="center"/>
          </w:tcPr>
          <w:p w14:paraId="675C680F">
            <w:pPr>
              <w:adjustRightInd w:val="0"/>
              <w:snapToGrid w:val="0"/>
              <w:spacing w:before="180" w:line="300" w:lineRule="auto"/>
              <w:jc w:val="center"/>
              <w:rPr>
                <w:rFonts w:hint="eastAsia" w:ascii="宋体" w:hAnsi="宋体" w:cs="宋体"/>
                <w:sz w:val="24"/>
              </w:rPr>
            </w:pPr>
            <w:r>
              <w:rPr>
                <w:rFonts w:hint="eastAsia" w:ascii="宋体" w:hAnsi="宋体" w:cs="宋体"/>
                <w:sz w:val="24"/>
              </w:rPr>
              <w:t xml:space="preserve">   </w:t>
            </w:r>
          </w:p>
          <w:p w14:paraId="18D2EDD0">
            <w:pPr>
              <w:adjustRightInd w:val="0"/>
              <w:snapToGrid w:val="0"/>
              <w:spacing w:before="180" w:line="300" w:lineRule="auto"/>
              <w:ind w:right="105" w:rightChars="50"/>
              <w:jc w:val="right"/>
              <w:rPr>
                <w:rFonts w:hint="eastAsia" w:ascii="宋体" w:hAnsi="宋体"/>
                <w:b/>
                <w:sz w:val="24"/>
              </w:rPr>
            </w:pPr>
            <w:r>
              <w:rPr>
                <w:rFonts w:hint="eastAsia" w:ascii="宋体" w:hAnsi="宋体" w:cs="宋体"/>
                <w:sz w:val="24"/>
              </w:rPr>
              <w:t>年   月   日</w:t>
            </w:r>
          </w:p>
        </w:tc>
      </w:tr>
      <w:tr w14:paraId="58282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51" w:hRule="atLeast"/>
        </w:trPr>
        <w:tc>
          <w:tcPr>
            <w:tcW w:w="1232" w:type="dxa"/>
            <w:tcBorders>
              <w:top w:val="single" w:color="auto" w:sz="4" w:space="0"/>
              <w:left w:val="single" w:color="auto" w:sz="12" w:space="0"/>
              <w:bottom w:val="single" w:color="auto" w:sz="12" w:space="0"/>
              <w:right w:val="single" w:color="auto" w:sz="4" w:space="0"/>
            </w:tcBorders>
            <w:vAlign w:val="center"/>
          </w:tcPr>
          <w:p w14:paraId="162AFA4E">
            <w:pPr>
              <w:adjustRightInd w:val="0"/>
              <w:snapToGrid w:val="0"/>
              <w:jc w:val="center"/>
              <w:rPr>
                <w:rFonts w:hint="eastAsia" w:ascii="宋体" w:hAnsi="宋体" w:cs="宋体"/>
                <w:sz w:val="28"/>
              </w:rPr>
            </w:pPr>
            <w:r>
              <w:rPr>
                <w:rFonts w:hint="eastAsia" w:ascii="宋体" w:hAnsi="宋体" w:cs="宋体"/>
                <w:sz w:val="28"/>
              </w:rPr>
              <w:t>系审核</w:t>
            </w:r>
          </w:p>
          <w:p w14:paraId="1623C1BF">
            <w:pPr>
              <w:adjustRightInd w:val="0"/>
              <w:snapToGrid w:val="0"/>
              <w:jc w:val="center"/>
              <w:rPr>
                <w:rFonts w:hint="eastAsia" w:ascii="宋体" w:hAnsi="宋体" w:cs="宋体"/>
                <w:sz w:val="28"/>
              </w:rPr>
            </w:pPr>
            <w:r>
              <w:rPr>
                <w:rFonts w:hint="eastAsia" w:ascii="宋体" w:hAnsi="宋体" w:cs="宋体"/>
                <w:sz w:val="28"/>
              </w:rPr>
              <w:t>意见</w:t>
            </w:r>
          </w:p>
        </w:tc>
        <w:tc>
          <w:tcPr>
            <w:tcW w:w="2864" w:type="dxa"/>
            <w:tcBorders>
              <w:top w:val="single" w:color="auto" w:sz="4" w:space="0"/>
              <w:left w:val="single" w:color="auto" w:sz="4" w:space="0"/>
              <w:bottom w:val="single" w:color="auto" w:sz="12" w:space="0"/>
              <w:right w:val="single" w:color="auto" w:sz="4" w:space="0"/>
            </w:tcBorders>
            <w:vAlign w:val="center"/>
          </w:tcPr>
          <w:p w14:paraId="25A39005">
            <w:pPr>
              <w:adjustRightInd w:val="0"/>
              <w:snapToGrid w:val="0"/>
              <w:spacing w:before="180" w:line="300" w:lineRule="auto"/>
              <w:ind w:right="105" w:rightChars="50"/>
              <w:jc w:val="center"/>
              <w:rPr>
                <w:rFonts w:hint="eastAsia" w:ascii="宋体" w:hAnsi="宋体" w:cs="宋体"/>
                <w:sz w:val="24"/>
              </w:rPr>
            </w:pPr>
          </w:p>
          <w:p w14:paraId="6E6E4322">
            <w:pPr>
              <w:wordWrap w:val="0"/>
              <w:adjustRightInd w:val="0"/>
              <w:snapToGrid w:val="0"/>
              <w:spacing w:before="180" w:line="300" w:lineRule="auto"/>
              <w:ind w:left="53" w:leftChars="25" w:right="105" w:rightChars="50"/>
              <w:jc w:val="right"/>
              <w:rPr>
                <w:rFonts w:hint="eastAsia" w:ascii="宋体" w:hAnsi="宋体" w:cs="宋体"/>
                <w:sz w:val="24"/>
              </w:rPr>
            </w:pPr>
            <w:r>
              <w:rPr>
                <w:rFonts w:hint="eastAsia" w:ascii="宋体" w:hAnsi="宋体" w:cs="宋体"/>
                <w:sz w:val="28"/>
              </w:rPr>
              <w:t>签名：</w:t>
            </w:r>
            <w:r>
              <w:rPr>
                <w:rFonts w:hint="eastAsia"/>
              </w:rPr>
              <w:t xml:space="preserve">                </w:t>
            </w:r>
          </w:p>
          <w:p w14:paraId="77BAF75D">
            <w:pPr>
              <w:adjustRightInd w:val="0"/>
              <w:snapToGrid w:val="0"/>
              <w:spacing w:before="180" w:line="300" w:lineRule="auto"/>
              <w:ind w:right="105" w:rightChars="50"/>
              <w:jc w:val="right"/>
              <w:rPr>
                <w:rFonts w:hint="eastAsia" w:ascii="宋体" w:hAnsi="宋体" w:cs="宋体"/>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12" w:space="0"/>
              <w:right w:val="single" w:color="auto" w:sz="4" w:space="0"/>
            </w:tcBorders>
            <w:vAlign w:val="center"/>
          </w:tcPr>
          <w:p w14:paraId="17AF750B">
            <w:pPr>
              <w:adjustRightInd w:val="0"/>
              <w:snapToGrid w:val="0"/>
              <w:jc w:val="center"/>
              <w:rPr>
                <w:rFonts w:hint="eastAsia" w:ascii="宋体" w:hAnsi="宋体" w:cs="宋体"/>
                <w:sz w:val="28"/>
              </w:rPr>
            </w:pPr>
            <w:r>
              <w:rPr>
                <w:rFonts w:hint="eastAsia" w:ascii="宋体" w:hAnsi="宋体" w:cs="宋体"/>
                <w:sz w:val="28"/>
              </w:rPr>
              <w:t>学院审核</w:t>
            </w:r>
          </w:p>
          <w:p w14:paraId="18824F60">
            <w:pPr>
              <w:adjustRightInd w:val="0"/>
              <w:snapToGrid w:val="0"/>
              <w:jc w:val="center"/>
              <w:rPr>
                <w:rFonts w:hint="eastAsia" w:ascii="宋体" w:hAnsi="宋体" w:cs="宋体"/>
                <w:sz w:val="28"/>
              </w:rPr>
            </w:pPr>
            <w:r>
              <w:rPr>
                <w:rFonts w:hint="eastAsia" w:ascii="宋体" w:hAnsi="宋体" w:cs="宋体"/>
                <w:sz w:val="28"/>
              </w:rPr>
              <w:t>意见</w:t>
            </w:r>
          </w:p>
        </w:tc>
        <w:tc>
          <w:tcPr>
            <w:tcW w:w="3260" w:type="dxa"/>
            <w:tcBorders>
              <w:top w:val="single" w:color="auto" w:sz="4" w:space="0"/>
              <w:left w:val="single" w:color="auto" w:sz="4" w:space="0"/>
              <w:bottom w:val="single" w:color="auto" w:sz="12" w:space="0"/>
              <w:right w:val="single" w:color="auto" w:sz="12" w:space="0"/>
            </w:tcBorders>
            <w:vAlign w:val="center"/>
          </w:tcPr>
          <w:p w14:paraId="07A6A522">
            <w:pPr>
              <w:adjustRightInd w:val="0"/>
              <w:snapToGrid w:val="0"/>
              <w:spacing w:before="180" w:line="300" w:lineRule="auto"/>
              <w:ind w:right="105" w:rightChars="50"/>
              <w:jc w:val="center"/>
              <w:rPr>
                <w:rFonts w:hint="eastAsia" w:ascii="宋体" w:hAnsi="宋体" w:cs="宋体"/>
                <w:sz w:val="24"/>
              </w:rPr>
            </w:pPr>
          </w:p>
          <w:p w14:paraId="2C28BE97">
            <w:pPr>
              <w:wordWrap w:val="0"/>
              <w:adjustRightInd w:val="0"/>
              <w:snapToGrid w:val="0"/>
              <w:spacing w:before="180" w:line="300" w:lineRule="auto"/>
              <w:ind w:left="53" w:leftChars="25" w:right="105" w:rightChars="50"/>
              <w:jc w:val="right"/>
              <w:rPr>
                <w:rFonts w:hint="eastAsia" w:ascii="宋体" w:hAnsi="宋体" w:cs="宋体"/>
                <w:sz w:val="24"/>
              </w:rPr>
            </w:pPr>
            <w:r>
              <w:rPr>
                <w:rFonts w:hint="eastAsia" w:ascii="宋体" w:hAnsi="宋体" w:cs="宋体"/>
                <w:sz w:val="28"/>
              </w:rPr>
              <w:t>签名：</w:t>
            </w:r>
            <w:r>
              <w:rPr>
                <w:rFonts w:hint="eastAsia"/>
              </w:rPr>
              <w:t xml:space="preserve">                 </w:t>
            </w:r>
          </w:p>
          <w:p w14:paraId="3721AF54">
            <w:pPr>
              <w:adjustRightInd w:val="0"/>
              <w:snapToGrid w:val="0"/>
              <w:spacing w:before="180" w:line="300" w:lineRule="auto"/>
              <w:ind w:right="105" w:rightChars="50"/>
              <w:jc w:val="right"/>
              <w:rPr>
                <w:rFonts w:hint="eastAsia" w:ascii="宋体" w:hAnsi="宋体" w:cs="宋体"/>
                <w:sz w:val="24"/>
              </w:rPr>
            </w:pPr>
            <w:r>
              <w:rPr>
                <w:rFonts w:hint="eastAsia" w:ascii="宋体" w:hAnsi="宋体" w:cs="宋体"/>
                <w:sz w:val="24"/>
              </w:rPr>
              <w:t>年   月   日</w:t>
            </w:r>
          </w:p>
        </w:tc>
      </w:tr>
    </w:tbl>
    <w:p w14:paraId="0EB5047D">
      <w:pPr>
        <w:jc w:val="right"/>
      </w:pPr>
      <w:r>
        <w:rPr>
          <w:rFonts w:hint="eastAsia"/>
          <w:bCs/>
        </w:rPr>
        <w:t>温州商学院教务部制</w:t>
      </w:r>
    </w:p>
    <w:p w14:paraId="4F6BE7E5">
      <w:pPr>
        <w:jc w:val="right"/>
      </w:pPr>
    </w:p>
    <w:sectPr>
      <w:headerReference r:id="rId3" w:type="first"/>
      <w:footerReference r:id="rId4" w:type="default"/>
      <w:footerReference r:id="rId5" w:type="even"/>
      <w:pgSz w:w="11906" w:h="16838"/>
      <w:pgMar w:top="1418" w:right="1417" w:bottom="1418" w:left="1701"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B22A47C1-872D-4095-888E-7BD32D2E490B}"/>
  </w:font>
  <w:font w:name="Arial">
    <w:panose1 w:val="020B0604020202020204"/>
    <w:charset w:val="01"/>
    <w:family w:val="swiss"/>
    <w:pitch w:val="default"/>
    <w:sig w:usb0="E0002EFF" w:usb1="C000785B" w:usb2="00000009" w:usb3="00000000" w:csb0="400001FF" w:csb1="FFFF0000"/>
    <w:embedRegular r:id="rId2" w:fontKey="{633D6D6A-46D4-4E54-8F25-98FAECE3A405}"/>
  </w:font>
  <w:font w:name="黑体">
    <w:panose1 w:val="02010609060101010101"/>
    <w:charset w:val="86"/>
    <w:family w:val="auto"/>
    <w:pitch w:val="default"/>
    <w:sig w:usb0="800002BF" w:usb1="38CF7CFA" w:usb2="00000016" w:usb3="00000000" w:csb0="00040001" w:csb1="00000000"/>
    <w:embedRegular r:id="rId3" w:fontKey="{57FDDEDD-C0E3-4126-98C4-14D3E50CC9F4}"/>
  </w:font>
  <w:font w:name="Courier New">
    <w:panose1 w:val="02070309020205020404"/>
    <w:charset w:val="01"/>
    <w:family w:val="modern"/>
    <w:pitch w:val="default"/>
    <w:sig w:usb0="E0002EFF" w:usb1="C0007843" w:usb2="00000009" w:usb3="00000000" w:csb0="400001FF" w:csb1="FFFF0000"/>
    <w:embedRegular r:id="rId4" w:fontKey="{10873C79-F304-41AB-9804-AF23AA39DD8B}"/>
  </w:font>
  <w:font w:name="Symbol">
    <w:panose1 w:val="05050102010706020507"/>
    <w:charset w:val="02"/>
    <w:family w:val="roman"/>
    <w:pitch w:val="default"/>
    <w:sig w:usb0="00000000" w:usb1="00000000" w:usb2="00000000" w:usb3="00000000" w:csb0="80000000" w:csb1="00000000"/>
    <w:embedRegular r:id="rId5" w:fontKey="{1297375C-5AC8-43F6-87DC-D8F3C83F0135}"/>
  </w:font>
  <w:font w:name="Calibri">
    <w:panose1 w:val="020F0502020204030204"/>
    <w:charset w:val="00"/>
    <w:family w:val="swiss"/>
    <w:pitch w:val="default"/>
    <w:sig w:usb0="E4002EFF" w:usb1="C200247B" w:usb2="00000009" w:usb3="00000000" w:csb0="200001FF" w:csb1="00000000"/>
    <w:embedRegular r:id="rId6" w:fontKey="{96CAF8EA-E5FD-45C0-A0A9-C93B5204A644}"/>
  </w:font>
  <w:font w:name="楷体_GB2312">
    <w:altName w:val="楷体"/>
    <w:panose1 w:val="00000000000000000000"/>
    <w:charset w:val="86"/>
    <w:family w:val="modern"/>
    <w:pitch w:val="default"/>
    <w:sig w:usb0="00000000" w:usb1="00000000" w:usb2="00000000" w:usb3="00000000" w:csb0="00040000" w:csb1="00000000"/>
    <w:embedRegular r:id="rId7" w:fontKey="{8E98A460-B0A8-4A1F-BEE0-E7FC4E807FD6}"/>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embedRegular r:id="rId8" w:fontKey="{5563E929-A288-49CD-A0E6-9155BB2AE6D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D2476">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083EB">
    <w:pPr>
      <w:pStyle w:val="4"/>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02280BF2">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C78C7">
    <w:pPr>
      <w:pStyle w:val="5"/>
    </w:pPr>
    <w:r>
      <w:rPr>
        <w:rFonts w:hint="eastAsia"/>
      </w:rPr>
      <w:t>温州商学院本科毕业设计（论文）任务书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00259"/>
    <w:multiLevelType w:val="singleLevel"/>
    <w:tmpl w:val="12400259"/>
    <w:lvl w:ilvl="0" w:tentative="0">
      <w:start w:val="1"/>
      <w:numFmt w:val="decimal"/>
      <w:suff w:val="space"/>
      <w:lvlText w:val="[%1]"/>
      <w:lvlJc w:val="left"/>
    </w:lvl>
  </w:abstractNum>
  <w:abstractNum w:abstractNumId="1">
    <w:nsid w:val="1C98C927"/>
    <w:multiLevelType w:val="singleLevel"/>
    <w:tmpl w:val="1C98C927"/>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YjdhNTYwZjY2ZjBhNjYzNGNlZTdkNjUxYzc2MDgifQ=="/>
  </w:docVars>
  <w:rsids>
    <w:rsidRoot w:val="005D730B"/>
    <w:rsid w:val="00000EC1"/>
    <w:rsid w:val="000024D3"/>
    <w:rsid w:val="000134D8"/>
    <w:rsid w:val="00031426"/>
    <w:rsid w:val="00040184"/>
    <w:rsid w:val="000548EC"/>
    <w:rsid w:val="000549D1"/>
    <w:rsid w:val="00055BAE"/>
    <w:rsid w:val="00056286"/>
    <w:rsid w:val="00070CAA"/>
    <w:rsid w:val="00076E91"/>
    <w:rsid w:val="000924AA"/>
    <w:rsid w:val="000B325E"/>
    <w:rsid w:val="000D1800"/>
    <w:rsid w:val="000D26EF"/>
    <w:rsid w:val="000D5570"/>
    <w:rsid w:val="000F0951"/>
    <w:rsid w:val="0010359E"/>
    <w:rsid w:val="00137C30"/>
    <w:rsid w:val="00144E21"/>
    <w:rsid w:val="00156A2E"/>
    <w:rsid w:val="00157748"/>
    <w:rsid w:val="00163AAA"/>
    <w:rsid w:val="001671D4"/>
    <w:rsid w:val="001843AA"/>
    <w:rsid w:val="00187F55"/>
    <w:rsid w:val="00191E3F"/>
    <w:rsid w:val="001935A6"/>
    <w:rsid w:val="00193BC0"/>
    <w:rsid w:val="001A2F79"/>
    <w:rsid w:val="001B21F2"/>
    <w:rsid w:val="001B7CE3"/>
    <w:rsid w:val="001C2364"/>
    <w:rsid w:val="001D3406"/>
    <w:rsid w:val="001E01BA"/>
    <w:rsid w:val="001F25FF"/>
    <w:rsid w:val="00212F9D"/>
    <w:rsid w:val="00222E57"/>
    <w:rsid w:val="0023116F"/>
    <w:rsid w:val="0024522C"/>
    <w:rsid w:val="002575C5"/>
    <w:rsid w:val="0027052B"/>
    <w:rsid w:val="002B031A"/>
    <w:rsid w:val="002B2546"/>
    <w:rsid w:val="002B4B40"/>
    <w:rsid w:val="002E687C"/>
    <w:rsid w:val="0030455C"/>
    <w:rsid w:val="00334E5A"/>
    <w:rsid w:val="00341567"/>
    <w:rsid w:val="00355D7B"/>
    <w:rsid w:val="00370B8E"/>
    <w:rsid w:val="0037725B"/>
    <w:rsid w:val="0039625B"/>
    <w:rsid w:val="0039757C"/>
    <w:rsid w:val="003A19BC"/>
    <w:rsid w:val="003B5B21"/>
    <w:rsid w:val="003E6063"/>
    <w:rsid w:val="003F54BF"/>
    <w:rsid w:val="004002DB"/>
    <w:rsid w:val="00411682"/>
    <w:rsid w:val="004177F8"/>
    <w:rsid w:val="00426D6C"/>
    <w:rsid w:val="0043452A"/>
    <w:rsid w:val="004444FF"/>
    <w:rsid w:val="00450FD7"/>
    <w:rsid w:val="00452984"/>
    <w:rsid w:val="00455165"/>
    <w:rsid w:val="004557AB"/>
    <w:rsid w:val="00464D64"/>
    <w:rsid w:val="004701D4"/>
    <w:rsid w:val="004755FC"/>
    <w:rsid w:val="00486AE7"/>
    <w:rsid w:val="00490D2A"/>
    <w:rsid w:val="004A7FEB"/>
    <w:rsid w:val="004B064D"/>
    <w:rsid w:val="004B3CC5"/>
    <w:rsid w:val="004E02B4"/>
    <w:rsid w:val="004E082C"/>
    <w:rsid w:val="004E3270"/>
    <w:rsid w:val="00500163"/>
    <w:rsid w:val="00523887"/>
    <w:rsid w:val="00524226"/>
    <w:rsid w:val="00531C66"/>
    <w:rsid w:val="00552C86"/>
    <w:rsid w:val="005554B8"/>
    <w:rsid w:val="00566E40"/>
    <w:rsid w:val="00573C42"/>
    <w:rsid w:val="00577F9C"/>
    <w:rsid w:val="00583F1F"/>
    <w:rsid w:val="005A42CE"/>
    <w:rsid w:val="005A65A2"/>
    <w:rsid w:val="005A6D85"/>
    <w:rsid w:val="005C3590"/>
    <w:rsid w:val="005D0F18"/>
    <w:rsid w:val="005D730B"/>
    <w:rsid w:val="005E41D3"/>
    <w:rsid w:val="005F4E5A"/>
    <w:rsid w:val="006005FB"/>
    <w:rsid w:val="00621FFB"/>
    <w:rsid w:val="0062347E"/>
    <w:rsid w:val="00632D14"/>
    <w:rsid w:val="00650389"/>
    <w:rsid w:val="00660814"/>
    <w:rsid w:val="0066288B"/>
    <w:rsid w:val="00676BE8"/>
    <w:rsid w:val="006825E2"/>
    <w:rsid w:val="006A6C6B"/>
    <w:rsid w:val="006A7ECD"/>
    <w:rsid w:val="00707D06"/>
    <w:rsid w:val="00742844"/>
    <w:rsid w:val="00753B21"/>
    <w:rsid w:val="007771C4"/>
    <w:rsid w:val="00780826"/>
    <w:rsid w:val="007817BB"/>
    <w:rsid w:val="0078322F"/>
    <w:rsid w:val="0078533A"/>
    <w:rsid w:val="007B4B8D"/>
    <w:rsid w:val="007D1F21"/>
    <w:rsid w:val="00867BC5"/>
    <w:rsid w:val="00873DE3"/>
    <w:rsid w:val="0087620A"/>
    <w:rsid w:val="0088359D"/>
    <w:rsid w:val="008838E3"/>
    <w:rsid w:val="008931AF"/>
    <w:rsid w:val="008A37D5"/>
    <w:rsid w:val="008E0BF4"/>
    <w:rsid w:val="00903FD1"/>
    <w:rsid w:val="0094287B"/>
    <w:rsid w:val="009459E1"/>
    <w:rsid w:val="0095132D"/>
    <w:rsid w:val="00962BE8"/>
    <w:rsid w:val="009765EE"/>
    <w:rsid w:val="00995F6F"/>
    <w:rsid w:val="009A7CEE"/>
    <w:rsid w:val="009C316A"/>
    <w:rsid w:val="009D0BF6"/>
    <w:rsid w:val="009D23A6"/>
    <w:rsid w:val="009D48A6"/>
    <w:rsid w:val="009D5FD0"/>
    <w:rsid w:val="009D762A"/>
    <w:rsid w:val="009E256E"/>
    <w:rsid w:val="009F318C"/>
    <w:rsid w:val="00A14B27"/>
    <w:rsid w:val="00A155A9"/>
    <w:rsid w:val="00A42DC0"/>
    <w:rsid w:val="00A61A5D"/>
    <w:rsid w:val="00A67681"/>
    <w:rsid w:val="00A755EF"/>
    <w:rsid w:val="00A7725E"/>
    <w:rsid w:val="00A94261"/>
    <w:rsid w:val="00A95929"/>
    <w:rsid w:val="00AB0DFC"/>
    <w:rsid w:val="00AB2031"/>
    <w:rsid w:val="00AB2919"/>
    <w:rsid w:val="00AC4E92"/>
    <w:rsid w:val="00AC6C4C"/>
    <w:rsid w:val="00AC70B2"/>
    <w:rsid w:val="00AF6401"/>
    <w:rsid w:val="00B00620"/>
    <w:rsid w:val="00B07BCC"/>
    <w:rsid w:val="00B21A15"/>
    <w:rsid w:val="00B35437"/>
    <w:rsid w:val="00B374D6"/>
    <w:rsid w:val="00B4388F"/>
    <w:rsid w:val="00B46D4C"/>
    <w:rsid w:val="00B57B27"/>
    <w:rsid w:val="00B61097"/>
    <w:rsid w:val="00B9693F"/>
    <w:rsid w:val="00BA767C"/>
    <w:rsid w:val="00BD17CE"/>
    <w:rsid w:val="00BE1091"/>
    <w:rsid w:val="00BE4B8D"/>
    <w:rsid w:val="00BE54FF"/>
    <w:rsid w:val="00BE6A9E"/>
    <w:rsid w:val="00BF51FE"/>
    <w:rsid w:val="00BF5B46"/>
    <w:rsid w:val="00C247C1"/>
    <w:rsid w:val="00C27F10"/>
    <w:rsid w:val="00C32827"/>
    <w:rsid w:val="00C3584B"/>
    <w:rsid w:val="00C51494"/>
    <w:rsid w:val="00C72554"/>
    <w:rsid w:val="00C80707"/>
    <w:rsid w:val="00CA7EEA"/>
    <w:rsid w:val="00CB06D6"/>
    <w:rsid w:val="00CE4ECD"/>
    <w:rsid w:val="00CE7D28"/>
    <w:rsid w:val="00CF0E2E"/>
    <w:rsid w:val="00CF6535"/>
    <w:rsid w:val="00D106AB"/>
    <w:rsid w:val="00D2625A"/>
    <w:rsid w:val="00D26EEE"/>
    <w:rsid w:val="00D326CE"/>
    <w:rsid w:val="00D41393"/>
    <w:rsid w:val="00D53A8D"/>
    <w:rsid w:val="00D649A7"/>
    <w:rsid w:val="00DA4B3F"/>
    <w:rsid w:val="00DD2674"/>
    <w:rsid w:val="00DD4645"/>
    <w:rsid w:val="00DD68DF"/>
    <w:rsid w:val="00DE5434"/>
    <w:rsid w:val="00DE740B"/>
    <w:rsid w:val="00DF40DA"/>
    <w:rsid w:val="00DF4320"/>
    <w:rsid w:val="00DF796B"/>
    <w:rsid w:val="00E010F5"/>
    <w:rsid w:val="00E06725"/>
    <w:rsid w:val="00E14C1F"/>
    <w:rsid w:val="00E3301D"/>
    <w:rsid w:val="00E42A64"/>
    <w:rsid w:val="00E60FE0"/>
    <w:rsid w:val="00E6668E"/>
    <w:rsid w:val="00E717D8"/>
    <w:rsid w:val="00E83A1D"/>
    <w:rsid w:val="00EB4DB4"/>
    <w:rsid w:val="00ED0DC8"/>
    <w:rsid w:val="00EF1CF2"/>
    <w:rsid w:val="00EF1E87"/>
    <w:rsid w:val="00EF38DE"/>
    <w:rsid w:val="00F029C7"/>
    <w:rsid w:val="00F07B23"/>
    <w:rsid w:val="00F26BCC"/>
    <w:rsid w:val="00F27441"/>
    <w:rsid w:val="00F359F7"/>
    <w:rsid w:val="00F41134"/>
    <w:rsid w:val="00F57C0F"/>
    <w:rsid w:val="00F73957"/>
    <w:rsid w:val="00F7534F"/>
    <w:rsid w:val="00F75ECE"/>
    <w:rsid w:val="00F80E25"/>
    <w:rsid w:val="00F875F2"/>
    <w:rsid w:val="00F942CB"/>
    <w:rsid w:val="00FC33B6"/>
    <w:rsid w:val="015C4E23"/>
    <w:rsid w:val="01C20BC1"/>
    <w:rsid w:val="01DE3F57"/>
    <w:rsid w:val="02453A5B"/>
    <w:rsid w:val="02C866AB"/>
    <w:rsid w:val="031511C4"/>
    <w:rsid w:val="031F2290"/>
    <w:rsid w:val="036349CF"/>
    <w:rsid w:val="037B54CB"/>
    <w:rsid w:val="03DB41BC"/>
    <w:rsid w:val="03FF761E"/>
    <w:rsid w:val="04D70A40"/>
    <w:rsid w:val="05926AFC"/>
    <w:rsid w:val="065074F1"/>
    <w:rsid w:val="06D73361"/>
    <w:rsid w:val="07995EC5"/>
    <w:rsid w:val="079E7F01"/>
    <w:rsid w:val="07C660A3"/>
    <w:rsid w:val="08BD20E2"/>
    <w:rsid w:val="096170E6"/>
    <w:rsid w:val="0A0F696E"/>
    <w:rsid w:val="0A267A76"/>
    <w:rsid w:val="0ADA30F6"/>
    <w:rsid w:val="0B0264D2"/>
    <w:rsid w:val="0B17086A"/>
    <w:rsid w:val="0B2D7924"/>
    <w:rsid w:val="0B323126"/>
    <w:rsid w:val="0BB35A1E"/>
    <w:rsid w:val="0E045213"/>
    <w:rsid w:val="0F046CBD"/>
    <w:rsid w:val="0F5D45EF"/>
    <w:rsid w:val="0F7929F1"/>
    <w:rsid w:val="0FA45B8D"/>
    <w:rsid w:val="0FB81855"/>
    <w:rsid w:val="11B83D8F"/>
    <w:rsid w:val="122907E8"/>
    <w:rsid w:val="1292486F"/>
    <w:rsid w:val="138858E1"/>
    <w:rsid w:val="14656E95"/>
    <w:rsid w:val="15023C9F"/>
    <w:rsid w:val="152F6116"/>
    <w:rsid w:val="15512530"/>
    <w:rsid w:val="16663629"/>
    <w:rsid w:val="16996156"/>
    <w:rsid w:val="17BE7C25"/>
    <w:rsid w:val="18A8274B"/>
    <w:rsid w:val="1A0D279E"/>
    <w:rsid w:val="1B3A67ED"/>
    <w:rsid w:val="1B705779"/>
    <w:rsid w:val="1BE614F8"/>
    <w:rsid w:val="1C6E39C8"/>
    <w:rsid w:val="1CD3596A"/>
    <w:rsid w:val="1FA47700"/>
    <w:rsid w:val="1FD97B2E"/>
    <w:rsid w:val="20AA343C"/>
    <w:rsid w:val="20B322F1"/>
    <w:rsid w:val="21414886"/>
    <w:rsid w:val="21EC3348"/>
    <w:rsid w:val="22C34341"/>
    <w:rsid w:val="22DE0399"/>
    <w:rsid w:val="23344E7E"/>
    <w:rsid w:val="235F22BC"/>
    <w:rsid w:val="244F4E98"/>
    <w:rsid w:val="24D46CDA"/>
    <w:rsid w:val="259B26D3"/>
    <w:rsid w:val="25DE044B"/>
    <w:rsid w:val="260235F7"/>
    <w:rsid w:val="264017FA"/>
    <w:rsid w:val="268D519B"/>
    <w:rsid w:val="26962499"/>
    <w:rsid w:val="28302479"/>
    <w:rsid w:val="297F0931"/>
    <w:rsid w:val="2A070FB7"/>
    <w:rsid w:val="2ABF2672"/>
    <w:rsid w:val="2B231E21"/>
    <w:rsid w:val="2B85488A"/>
    <w:rsid w:val="2C0559CB"/>
    <w:rsid w:val="2C7F59FC"/>
    <w:rsid w:val="2DE675FC"/>
    <w:rsid w:val="2E0A2906"/>
    <w:rsid w:val="2E0B17BA"/>
    <w:rsid w:val="2E4C5A26"/>
    <w:rsid w:val="2EB01C1E"/>
    <w:rsid w:val="2FFC62E2"/>
    <w:rsid w:val="302E1453"/>
    <w:rsid w:val="30804686"/>
    <w:rsid w:val="309B7884"/>
    <w:rsid w:val="3126266B"/>
    <w:rsid w:val="31DA53D1"/>
    <w:rsid w:val="324856B1"/>
    <w:rsid w:val="327D3F00"/>
    <w:rsid w:val="33BB75BB"/>
    <w:rsid w:val="33DC189A"/>
    <w:rsid w:val="34943D90"/>
    <w:rsid w:val="35AB75E3"/>
    <w:rsid w:val="35F72828"/>
    <w:rsid w:val="3618333E"/>
    <w:rsid w:val="36D6243D"/>
    <w:rsid w:val="37070849"/>
    <w:rsid w:val="37131FAF"/>
    <w:rsid w:val="388E098C"/>
    <w:rsid w:val="38D05141"/>
    <w:rsid w:val="3ADE7B13"/>
    <w:rsid w:val="3B560305"/>
    <w:rsid w:val="3BC82C9D"/>
    <w:rsid w:val="3C380F76"/>
    <w:rsid w:val="3C9012E0"/>
    <w:rsid w:val="3CA54836"/>
    <w:rsid w:val="3D1912D6"/>
    <w:rsid w:val="3D4F0FD8"/>
    <w:rsid w:val="3EB70DA6"/>
    <w:rsid w:val="3ECC2AA4"/>
    <w:rsid w:val="3ED731F7"/>
    <w:rsid w:val="3ED94B07"/>
    <w:rsid w:val="3FAE3F57"/>
    <w:rsid w:val="3FC449AB"/>
    <w:rsid w:val="3FF51B86"/>
    <w:rsid w:val="402C0727"/>
    <w:rsid w:val="406E6F76"/>
    <w:rsid w:val="4093314D"/>
    <w:rsid w:val="41546945"/>
    <w:rsid w:val="41AE164F"/>
    <w:rsid w:val="41EE2D31"/>
    <w:rsid w:val="429D02B3"/>
    <w:rsid w:val="42D27F5D"/>
    <w:rsid w:val="432F52C5"/>
    <w:rsid w:val="43495971"/>
    <w:rsid w:val="43654793"/>
    <w:rsid w:val="44103FB1"/>
    <w:rsid w:val="453C3DB3"/>
    <w:rsid w:val="45637592"/>
    <w:rsid w:val="45660E30"/>
    <w:rsid w:val="45905269"/>
    <w:rsid w:val="461E795D"/>
    <w:rsid w:val="464E1FF0"/>
    <w:rsid w:val="46A4144B"/>
    <w:rsid w:val="46EB783F"/>
    <w:rsid w:val="471072A6"/>
    <w:rsid w:val="4714323A"/>
    <w:rsid w:val="477E06B3"/>
    <w:rsid w:val="47BF60E5"/>
    <w:rsid w:val="47F54912"/>
    <w:rsid w:val="48CE11C6"/>
    <w:rsid w:val="49330F2C"/>
    <w:rsid w:val="493504C2"/>
    <w:rsid w:val="49D40A5E"/>
    <w:rsid w:val="4A3151E2"/>
    <w:rsid w:val="4A876D41"/>
    <w:rsid w:val="4AD6194C"/>
    <w:rsid w:val="4C9E2D83"/>
    <w:rsid w:val="4CFD3DB7"/>
    <w:rsid w:val="4D902EEE"/>
    <w:rsid w:val="4E4D0DDF"/>
    <w:rsid w:val="4E6532B2"/>
    <w:rsid w:val="4EA12ED9"/>
    <w:rsid w:val="4EEF633A"/>
    <w:rsid w:val="4F29797F"/>
    <w:rsid w:val="4F7F321A"/>
    <w:rsid w:val="4F975776"/>
    <w:rsid w:val="50593A6B"/>
    <w:rsid w:val="50923DEC"/>
    <w:rsid w:val="512D6CA6"/>
    <w:rsid w:val="51441B43"/>
    <w:rsid w:val="51AD68E3"/>
    <w:rsid w:val="51C9367C"/>
    <w:rsid w:val="51E21BD9"/>
    <w:rsid w:val="52911BE2"/>
    <w:rsid w:val="53E7192E"/>
    <w:rsid w:val="54414F42"/>
    <w:rsid w:val="547C0308"/>
    <w:rsid w:val="549D3677"/>
    <w:rsid w:val="563A7E9B"/>
    <w:rsid w:val="56FF1590"/>
    <w:rsid w:val="58C6034A"/>
    <w:rsid w:val="58D07129"/>
    <w:rsid w:val="596C0CB3"/>
    <w:rsid w:val="598B728E"/>
    <w:rsid w:val="59F12F67"/>
    <w:rsid w:val="5B8A73CA"/>
    <w:rsid w:val="5BAF69F2"/>
    <w:rsid w:val="5DE701EA"/>
    <w:rsid w:val="5F020973"/>
    <w:rsid w:val="61914F3C"/>
    <w:rsid w:val="619A2136"/>
    <w:rsid w:val="61F84262"/>
    <w:rsid w:val="62A75240"/>
    <w:rsid w:val="637368D1"/>
    <w:rsid w:val="64590B91"/>
    <w:rsid w:val="64F87C76"/>
    <w:rsid w:val="650747E2"/>
    <w:rsid w:val="650901DA"/>
    <w:rsid w:val="6534525A"/>
    <w:rsid w:val="66813376"/>
    <w:rsid w:val="66D67198"/>
    <w:rsid w:val="67DC66DC"/>
    <w:rsid w:val="680B51D4"/>
    <w:rsid w:val="684A3EEF"/>
    <w:rsid w:val="689A54AC"/>
    <w:rsid w:val="6A822C7B"/>
    <w:rsid w:val="6AEB15A8"/>
    <w:rsid w:val="6BAA57B0"/>
    <w:rsid w:val="6BD149A6"/>
    <w:rsid w:val="6BD210DA"/>
    <w:rsid w:val="6BFB5EC7"/>
    <w:rsid w:val="6D1C7EA3"/>
    <w:rsid w:val="6E0A419F"/>
    <w:rsid w:val="6E9D5013"/>
    <w:rsid w:val="6EB10C80"/>
    <w:rsid w:val="70453BB5"/>
    <w:rsid w:val="70AC7790"/>
    <w:rsid w:val="70D50A94"/>
    <w:rsid w:val="71B56485"/>
    <w:rsid w:val="725F3B9F"/>
    <w:rsid w:val="72AA0407"/>
    <w:rsid w:val="732A225E"/>
    <w:rsid w:val="73D20913"/>
    <w:rsid w:val="741C3022"/>
    <w:rsid w:val="760C26F5"/>
    <w:rsid w:val="76916271"/>
    <w:rsid w:val="76F711D7"/>
    <w:rsid w:val="782778BD"/>
    <w:rsid w:val="782D565A"/>
    <w:rsid w:val="786B1B3B"/>
    <w:rsid w:val="790C34C1"/>
    <w:rsid w:val="7954100A"/>
    <w:rsid w:val="798C57CF"/>
    <w:rsid w:val="79960FDD"/>
    <w:rsid w:val="79AD6171"/>
    <w:rsid w:val="79EE79A7"/>
    <w:rsid w:val="7A2D27A2"/>
    <w:rsid w:val="7A666C08"/>
    <w:rsid w:val="7B4022FD"/>
    <w:rsid w:val="7BE14791"/>
    <w:rsid w:val="7C1233F2"/>
    <w:rsid w:val="7D100B38"/>
    <w:rsid w:val="7D637428"/>
    <w:rsid w:val="7D7A30EF"/>
    <w:rsid w:val="7DBE3EF7"/>
    <w:rsid w:val="7DC904C4"/>
    <w:rsid w:val="7DDB18E2"/>
    <w:rsid w:val="7E9A331D"/>
    <w:rsid w:val="7ECD3704"/>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line="300" w:lineRule="auto"/>
      <w:ind w:firstLine="200" w:firstLineChars="200"/>
      <w:jc w:val="left"/>
      <w:outlineLvl w:val="1"/>
    </w:pPr>
    <w:rPr>
      <w:rFonts w:ascii="Arial" w:hAnsi="Arial"/>
      <w:b/>
      <w:bCs/>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adjustRightInd w:val="0"/>
      <w:snapToGrid w:val="0"/>
    </w:pPr>
    <w:rPr>
      <w:rFonts w:ascii="楷体_GB2312" w:eastAsia="楷体_GB2312"/>
      <w:color w:val="FF0000"/>
      <w:sz w:val="2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kern w:val="0"/>
      <w:sz w:val="24"/>
    </w:rPr>
  </w:style>
  <w:style w:type="character" w:styleId="9">
    <w:name w:val="Strong"/>
    <w:basedOn w:val="8"/>
    <w:qFormat/>
    <w:uiPriority w:val="0"/>
    <w:rPr>
      <w:b/>
    </w:rPr>
  </w:style>
  <w:style w:type="character" w:styleId="10">
    <w:name w:val="page number"/>
    <w:basedOn w:val="8"/>
    <w:qFormat/>
    <w:uiPriority w:val="0"/>
  </w:style>
  <w:style w:type="character" w:styleId="11">
    <w:name w:val="Hyperlink"/>
    <w:basedOn w:val="8"/>
    <w:qFormat/>
    <w:uiPriority w:val="0"/>
    <w:rPr>
      <w:color w:val="0000FF" w:themeColor="hyperlink"/>
      <w:u w:val="single"/>
      <w14:textFill>
        <w14:solidFill>
          <w14:schemeClr w14:val="hlink"/>
        </w14:solidFill>
      </w14:textFill>
    </w:rPr>
  </w:style>
  <w:style w:type="character" w:customStyle="1" w:styleId="12">
    <w:name w:val="未处理的提及1"/>
    <w:basedOn w:val="8"/>
    <w:semiHidden/>
    <w:unhideWhenUsed/>
    <w:qFormat/>
    <w:uiPriority w:val="99"/>
    <w:rPr>
      <w:color w:val="605E5C"/>
      <w:shd w:val="clear" w:color="auto" w:fill="E1DFDD"/>
    </w:rPr>
  </w:style>
  <w:style w:type="character" w:customStyle="1" w:styleId="13">
    <w:name w:val="未处理的提及2"/>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2407</Words>
  <Characters>3832</Characters>
  <Lines>29</Lines>
  <Paragraphs>8</Paragraphs>
  <TotalTime>0</TotalTime>
  <ScaleCrop>false</ScaleCrop>
  <LinksUpToDate>false</LinksUpToDate>
  <CharactersWithSpaces>4100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2016-11-07T06:45:00Z</dcterms:created>
  <dc:creator>温州大学教务处实践科</dc:creator>
  <cp:lastModifiedBy>樹井</cp:lastModifiedBy>
  <cp:lastPrinted>2025-09-25T04:21:00Z</cp:lastPrinted>
  <dcterms:modified xsi:type="dcterms:W3CDTF">2025-12-08T02:49:43Z</dcterms:modified>
  <dc:title>温州大学毕业设计（论文）任务书</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3272043A651846DE864BAC96732A85A2_13</vt:lpwstr>
  </property>
  <property fmtid="{D5CDD505-2E9C-101B-9397-08002B2CF9AE}" pid="4" name="KSOTemplateDocerSaveRecord">
    <vt:lpwstr>eyJoZGlkIjoiNDI5ZTQ4ZTEyMDQzOGI3NmI4YjNhODcyY2ExMmI3OTEiLCJ1c2VySWQiOiIxNTM0MDc4OTg4In0=</vt:lpwstr>
  </property>
</Properties>
</file>