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API安全最佳实践</w:t>
      </w:r>
    </w:p>
    <w:p>
      <w:pPr>
        <w:pStyle w:val="Heading1"/>
      </w:pPr>
      <w:r>
        <w:t>1. 认证与授权</w:t>
      </w:r>
    </w:p>
    <w:p>
      <w:pPr>
        <w:pStyle w:val="ListBullet"/>
      </w:pPr>
      <w:r>
        <w:t>JWT Token: 无状态的认证方式</w:t>
      </w:r>
    </w:p>
    <w:p>
      <w:pPr>
        <w:pStyle w:val="ListBullet"/>
      </w:pPr>
      <w:r>
        <w:t>OAuth 2.0: 第三方授权标准</w:t>
      </w:r>
    </w:p>
    <w:p>
      <w:pPr>
        <w:pStyle w:val="ListBullet"/>
      </w:pPr>
      <w:r>
        <w:t>API Key: 简单的API访问控制</w:t>
      </w:r>
    </w:p>
    <w:p>
      <w:pPr>
        <w:pStyle w:val="ListBullet"/>
      </w:pPr>
      <w:r>
        <w:t>双因素认证: 提高账户安全性</w:t>
      </w:r>
    </w:p>
    <w:p>
      <w:pPr>
        <w:pStyle w:val="Heading1"/>
      </w:pPr>
      <w:r>
        <w:t>2. 数据安全</w:t>
      </w:r>
    </w:p>
    <w:p>
      <w:pPr>
        <w:pStyle w:val="ListBullet"/>
      </w:pPr>
      <w:r>
        <w:t>HTTPS: 加密传输数据</w:t>
      </w:r>
    </w:p>
    <w:p>
      <w:pPr>
        <w:pStyle w:val="ListBullet"/>
      </w:pPr>
      <w:r>
        <w:t>输入验证: 防止SQL注入、XSS攻击</w:t>
      </w:r>
    </w:p>
    <w:p>
      <w:pPr>
        <w:pStyle w:val="ListBullet"/>
      </w:pPr>
      <w:r>
        <w:t>敏感数据加密: 密码、信用卡信息</w:t>
      </w:r>
    </w:p>
    <w:p>
      <w:pPr>
        <w:pStyle w:val="ListBullet"/>
      </w:pPr>
      <w:r>
        <w:t>数据脱敏: 日志中的敏感信息</w:t>
      </w:r>
    </w:p>
    <w:p>
      <w:pPr>
        <w:pStyle w:val="Heading1"/>
      </w:pPr>
      <w:r>
        <w:t>3. 访问控制</w:t>
      </w:r>
    </w:p>
    <w:p>
      <w:pPr>
        <w:pStyle w:val="ListBullet"/>
      </w:pPr>
      <w:r>
        <w:t>速率限制: 防止API滥用</w:t>
      </w:r>
    </w:p>
    <w:p>
      <w:pPr>
        <w:pStyle w:val="ListBullet"/>
      </w:pPr>
      <w:r>
        <w:t>CORS配置: 限制跨域访问</w:t>
      </w:r>
    </w:p>
    <w:p>
      <w:pPr>
        <w:pStyle w:val="ListBullet"/>
      </w:pPr>
      <w:r>
        <w:t>IP白名单: 限制访问来源</w:t>
      </w:r>
    </w:p>
    <w:p>
      <w:pPr>
        <w:pStyle w:val="ListBullet"/>
      </w:pPr>
      <w:r>
        <w:t>权限最小化: 只给予必要的权限</w:t>
      </w:r>
    </w:p>
    <w:p>
      <w:pPr>
        <w:pStyle w:val="Heading1"/>
      </w:pPr>
      <w:r>
        <w:t>4. 安全监控</w:t>
      </w:r>
    </w:p>
    <w:p>
      <w:r>
        <w:t>记录详细的访问日志、监控异常访问模式、及时响应安全事件、定期进行安全审计和漏洞扫描、保持依赖库和框架的更新。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