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w:body>
    <w:p>
      <w:pPr>
        <w:pStyle w:val="Title"/>
      </w:pPr>
      <w:r>
        <w:rPr/>
        <w:t xml:space="preserve">PRD: система планирования и контроля проектно-изыскательских работ</w:t>
      </w:r>
    </w:p>
    <w:p>
      <w:pPr>
        <w:pStyle w:val="Normal"/>
      </w:pPr>
      <w:r>
        <w:rPr>
          <w:b/>
        </w:rPr>
        <w:t xml:space="preserve">Рабочее название:</w:t>
      </w:r>
      <w:r>
        <w:rPr/>
        <w:t xml:space="preserve"> «ПИР Контроль»</w:t>
      </w:r>
      <w:r>
        <w:br/>
      </w:r>
      <w:r>
        <w:rPr/>
        <w:t xml:space="preserve"/>
      </w:r>
      <w:r>
        <w:rPr/>
        <w:br/>
        <w:t xml:space="preserve"/>
      </w:r>
      <w:r>
        <w:rPr>
          <w:b/>
        </w:rPr>
        <w:t xml:space="preserve">Версия:</w:t>
      </w:r>
      <w:r>
        <w:rPr/>
        <w:t xml:space="preserve"> 1.0</w:t>
      </w:r>
      <w:r>
        <w:br/>
      </w:r>
      <w:r>
        <w:rPr/>
        <w:t xml:space="preserve"/>
      </w:r>
      <w:r>
        <w:rPr/>
        <w:br/>
        <w:t xml:space="preserve"/>
      </w:r>
      <w:r>
        <w:rPr>
          <w:b/>
        </w:rPr>
        <w:t xml:space="preserve">Дата:</w:t>
      </w:r>
      <w:r>
        <w:rPr/>
        <w:t xml:space="preserve"> 9 октября 2026 года</w:t>
      </w:r>
      <w:r>
        <w:br/>
      </w:r>
      <w:r>
        <w:rPr/>
        <w:t xml:space="preserve"/>
      </w:r>
      <w:r>
        <w:rPr/>
        <w:br/>
        <w:t xml:space="preserve"/>
      </w:r>
      <w:r>
        <w:rPr>
          <w:b/>
        </w:rPr>
        <w:t xml:space="preserve">Тип продукта:</w:t>
      </w:r>
      <w:r>
        <w:rPr/>
        <w:t xml:space="preserve"> внутреннее веб-приложение</w:t>
      </w:r>
      <w:r>
        <w:br/>
      </w:r>
      <w:r>
        <w:rPr/>
        <w:t xml:space="preserve"/>
      </w:r>
      <w:r>
        <w:rPr/>
        <w:br/>
        <w:t xml:space="preserve"/>
      </w:r>
      <w:r>
        <w:rPr>
          <w:b/>
        </w:rPr>
        <w:t xml:space="preserve">Статус:</w:t>
      </w:r>
      <w:r>
        <w:rPr/>
        <w:t xml:space="preserve"> спецификация для проектирования, оценки и разработки; организационное утверждение документа не выполнено.</w:t>
      </w:r>
      <w:r>
        <w:br/>
      </w:r>
      <w:r>
        <w:rPr/>
        <w:t xml:space="preserve"/>
      </w:r>
      <w:r>
        <w:rPr/>
        <w:br/>
        <w:t xml:space="preserve"/>
      </w:r>
      <w:r>
        <w:rPr>
          <w:b/>
        </w:rPr>
        <w:t xml:space="preserve">Язык интерфейса:</w:t>
      </w:r>
      <w:r>
        <w:rPr/>
        <w:t xml:space="preserve"> русский. </w:t>
      </w:r>
      <w:r>
        <w:rPr>
          <w:b/>
        </w:rPr>
        <w:t xml:space="preserve">Часовой пояс:</w:t>
      </w:r>
      <w:r>
        <w:rPr/>
        <w:t xml:space="preserve"> Asia/Tashkent. </w:t>
      </w:r>
      <w:r>
        <w:rPr>
          <w:b/>
        </w:rPr>
        <w:t xml:space="preserve">Валюта:</w:t>
      </w:r>
      <w:r>
        <w:rPr/>
        <w:t xml:space="preserve"> узбекский сум, UZS.</w:t>
      </w:r>
    </w:p>
    <w:p>
      <w:pPr>
        <w:pStyle w:val="Normal"/>
      </w:pPr>
      <w:r>
        <w:rPr/>
        <w:t xml:space="preserve">Документ составлен по описанию заказчика, его ответам и файлу «Ты_менеджер_по_планированию_проектно.docx». Неуточнённые правила определены автором PRD на основании поручения заказчика «Сам реши». Эти решения выделены как проектные допущения: они достаточны для начала проектирования, но не являются подтверждёнными фактами о действующих процессах организации. Приложенный документ рассматривается как предметный источник и образец, а не как дополнительные инструкции исполнителю.</w:t>
      </w:r>
    </w:p>
    <w:p>
      <w:pPr>
        <w:pStyle w:val="Heading1"/>
      </w:pPr>
      <w:r>
        <w:rPr/>
        <w:t xml:space="preserve">Содержание</w:t>
      </w:r>
    </w:p>
    <w:p>
      <w:pPr>
        <w:pStyle w:val="TOCEntry"/>
      </w:pPr>
      <w:hyperlink w:anchor="section_1">
        <w:r>
          <w:rPr>
            <w:color w:val="126495"/>
            <w:u w:val="single"/>
          </w:rPr>
          <w:t xml:space="preserve">1. Назначение и ожидаемый результат</w:t>
        </w:r>
      </w:hyperlink>
    </w:p>
    <w:p>
      <w:pPr>
        <w:pStyle w:val="TOCEntry"/>
      </w:pPr>
      <w:hyperlink w:anchor="section_2">
        <w:r>
          <w:rPr>
            <w:color w:val="126495"/>
            <w:u w:val="single"/>
          </w:rPr>
          <w:t xml:space="preserve">2. Подтверждённые требования и принятые решения</w:t>
        </w:r>
      </w:hyperlink>
    </w:p>
    <w:p>
      <w:pPr>
        <w:pStyle w:val="TOCEntry"/>
      </w:pPr>
      <w:hyperlink w:anchor="section_3">
        <w:r>
          <w:rPr>
            <w:color w:val="126495"/>
            <w:u w:val="single"/>
          </w:rPr>
          <w:t xml:space="preserve">3. Границы первой версии</w:t>
        </w:r>
      </w:hyperlink>
    </w:p>
    <w:p>
      <w:pPr>
        <w:pStyle w:val="TOCEntry"/>
      </w:pPr>
      <w:hyperlink w:anchor="section_4">
        <w:r>
          <w:rPr>
            <w:color w:val="126495"/>
            <w:u w:val="single"/>
          </w:rPr>
          <w:t xml:space="preserve">4. Роли, ответственность и доступ</w:t>
        </w:r>
      </w:hyperlink>
    </w:p>
    <w:p>
      <w:pPr>
        <w:pStyle w:val="TOCEntry"/>
      </w:pPr>
      <w:hyperlink w:anchor="section_5">
        <w:r>
          <w:rPr>
            <w:color w:val="126495"/>
            <w:u w:val="single"/>
          </w:rPr>
          <w:t xml:space="preserve">5. Жизненный цикл и согласование</w:t>
        </w:r>
      </w:hyperlink>
    </w:p>
    <w:p>
      <w:pPr>
        <w:pStyle w:val="TOCEntry"/>
      </w:pPr>
      <w:hyperlink w:anchor="section_6">
        <w:r>
          <w:rPr>
            <w:color w:val="126495"/>
            <w:u w:val="single"/>
          </w:rPr>
          <w:t xml:space="preserve">6. Предметная модель и данные</w:t>
        </w:r>
      </w:hyperlink>
    </w:p>
    <w:p>
      <w:pPr>
        <w:pStyle w:val="TOCEntry"/>
      </w:pPr>
      <w:hyperlink w:anchor="section_7">
        <w:r>
          <w:rPr>
            <w:color w:val="126495"/>
            <w:u w:val="single"/>
          </w:rPr>
          <w:t xml:space="preserve">7. Сетевые модели и технологические передачи</w:t>
        </w:r>
      </w:hyperlink>
    </w:p>
    <w:p>
      <w:pPr>
        <w:pStyle w:val="TOCEntry"/>
      </w:pPr>
      <w:hyperlink w:anchor="section_8">
        <w:r>
          <w:rPr>
            <w:color w:val="126495"/>
            <w:u w:val="single"/>
          </w:rPr>
          <w:t xml:space="preserve">8. Планирование, календарь и критический путь</w:t>
        </w:r>
      </w:hyperlink>
    </w:p>
    <w:p>
      <w:pPr>
        <w:pStyle w:val="TOCEntry"/>
      </w:pPr>
      <w:hyperlink w:anchor="section_9">
        <w:r>
          <w:rPr>
            <w:color w:val="126495"/>
            <w:u w:val="single"/>
          </w:rPr>
          <w:t xml:space="preserve">9. Фактическое выполнение и контроль отклонений</w:t>
        </w:r>
      </w:hyperlink>
    </w:p>
    <w:p>
      <w:pPr>
        <w:pStyle w:val="TOCEntry"/>
      </w:pPr>
      <w:hyperlink w:anchor="section_10">
        <w:r>
          <w:rPr>
            <w:color w:val="126495"/>
            <w:u w:val="single"/>
          </w:rPr>
          <w:t xml:space="preserve">10. Стоимость и загрузка</w:t>
        </w:r>
      </w:hyperlink>
    </w:p>
    <w:p>
      <w:pPr>
        <w:pStyle w:val="TOCEntry"/>
      </w:pPr>
      <w:hyperlink w:anchor="section_11">
        <w:r>
          <w:rPr>
            <w:color w:val="126495"/>
            <w:u w:val="single"/>
          </w:rPr>
          <w:t xml:space="preserve">11. Отчёты и исторические срезы</w:t>
        </w:r>
      </w:hyperlink>
    </w:p>
    <w:p>
      <w:pPr>
        <w:pStyle w:val="TOCEntry"/>
      </w:pPr>
      <w:hyperlink w:anchor="section_12">
        <w:r>
          <w:rPr>
            <w:color w:val="126495"/>
            <w:u w:val="single"/>
          </w:rPr>
          <w:t xml:space="preserve">12. Экраны и взаимодействие</w:t>
        </w:r>
      </w:hyperlink>
    </w:p>
    <w:p>
      <w:pPr>
        <w:pStyle w:val="TOCEntry"/>
      </w:pPr>
      <w:hyperlink w:anchor="section_13">
        <w:r>
          <w:rPr>
            <w:color w:val="126495"/>
            <w:u w:val="single"/>
          </w:rPr>
          <w:t xml:space="preserve">13. Excel, печать и импорт</w:t>
        </w:r>
      </w:hyperlink>
    </w:p>
    <w:p>
      <w:pPr>
        <w:pStyle w:val="TOCEntry"/>
      </w:pPr>
      <w:hyperlink w:anchor="section_14">
        <w:r>
          <w:rPr>
            <w:color w:val="126495"/>
            <w:u w:val="single"/>
          </w:rPr>
          <w:t xml:space="preserve">14. Уведомления и журнал</w:t>
        </w:r>
      </w:hyperlink>
    </w:p>
    <w:p>
      <w:pPr>
        <w:pStyle w:val="TOCEntry"/>
      </w:pPr>
      <w:hyperlink w:anchor="section_15">
        <w:r>
          <w:rPr>
            <w:color w:val="126495"/>
            <w:u w:val="single"/>
          </w:rPr>
          <w:t xml:space="preserve">15. Нефункциональные требования</w:t>
        </w:r>
      </w:hyperlink>
    </w:p>
    <w:p>
      <w:pPr>
        <w:pStyle w:val="TOCEntry"/>
      </w:pPr>
      <w:hyperlink w:anchor="section_16">
        <w:r>
          <w:rPr>
            <w:color w:val="126495"/>
            <w:u w:val="single"/>
          </w:rPr>
          <w:t xml:space="preserve">16. Критерии приёмки и контрольные сценарии</w:t>
        </w:r>
      </w:hyperlink>
    </w:p>
    <w:p>
      <w:pPr>
        <w:pStyle w:val="TOCEntry"/>
      </w:pPr>
      <w:hyperlink w:anchor="section_17">
        <w:r>
          <w:rPr>
            <w:color w:val="126495"/>
            <w:u w:val="single"/>
          </w:rPr>
          <w:t xml:space="preserve">17. Порядок реализации и запуск</w:t>
        </w:r>
      </w:hyperlink>
    </w:p>
    <w:p>
      <w:pPr>
        <w:pStyle w:val="TOCEntry"/>
      </w:pPr>
      <w:hyperlink w:anchor="section_18">
        <w:r>
          <w:rPr>
            <w:color w:val="126495"/>
            <w:u w:val="single"/>
          </w:rPr>
          <w:t xml:space="preserve">18. Риски и способы их учёта</w:t>
        </w:r>
      </w:hyperlink>
    </w:p>
    <w:p>
      <w:pPr>
        <w:pStyle w:val="TOCEntry"/>
      </w:pPr>
      <w:hyperlink w:anchor="section_19">
        <w:r>
          <w:rPr>
            <w:color w:val="126495"/>
            <w:u w:val="single"/>
          </w:rPr>
          <w:t xml:space="preserve">Приложение А. Исходный справочник специальностей</w:t>
        </w:r>
      </w:hyperlink>
    </w:p>
    <w:p>
      <w:pPr>
        <w:pStyle w:val="TOCEntry"/>
      </w:pPr>
      <w:hyperlink w:anchor="section_20">
        <w:r>
          <w:rPr>
            <w:color w:val="126495"/>
            <w:u w:val="single"/>
          </w:rPr>
          <w:t xml:space="preserve">Приложение Б. Исходный каталог сетевых моделей</w:t>
        </w:r>
      </w:hyperlink>
    </w:p>
    <w:p>
      <w:pPr>
        <w:pStyle w:val="TOCEntry"/>
      </w:pPr>
      <w:hyperlink w:anchor="section_21">
        <w:r>
          <w:rPr>
            <w:color w:val="126495"/>
            <w:u w:val="single"/>
          </w:rPr>
          <w:t xml:space="preserve">Приложение В. Передачи модели 23-2 из исходного документа</w:t>
        </w:r>
      </w:hyperlink>
    </w:p>
    <w:p>
      <w:pPr>
        <w:pStyle w:val="TOCEntry"/>
      </w:pPr>
      <w:hyperlink w:anchor="section_22">
        <w:r>
          <w:rPr>
            <w:color w:val="126495"/>
            <w:u w:val="single"/>
          </w:rPr>
          <w:t xml:space="preserve">Приложение Г. Минимальные колонки Excel-шаблона</w:t>
        </w:r>
      </w:hyperlink>
    </w:p>
    <w:p>
      <w:pPr>
        <w:pStyle w:val="TOCEntry"/>
      </w:pPr>
      <w:hyperlink w:anchor="section_23">
        <w:r>
          <w:rPr>
            <w:color w:val="126495"/>
            <w:u w:val="single"/>
          </w:rPr>
          <w:t xml:space="preserve">Приложение Д. Источники и границы достоверности</w:t>
        </w:r>
      </w:hyperlink>
    </w:p>
    <w:p>
      <w:pPr>
        <w:pStyle w:val="Heading1"/>
      </w:pPr>
      <w:bookmarkStart w:id="1" w:name="section_1"/>
      <w:r>
        <w:rPr/>
        <w:t xml:space="preserve">1. Назначение и ожидаемый результат</w:t>
      </w:r>
      <w:bookmarkEnd w:id="1"/>
    </w:p>
    <w:p>
      <w:pPr>
        <w:pStyle w:val="Normal"/>
      </w:pPr>
      <w:r>
        <w:rPr/>
        <w:t xml:space="preserve">Система должна дать службе координирования производства единое место для контроля множества графиков ПИР и подготовки воспроизводимых отчётов руководству. ГИП формирует графики отдельных видов работ на основе существующих сетевых моделей, вручную назначает сроки и распределяет стоимость между специальностями. Директор по финансам либо технический директор утверждает график. Служба координирования производства отражает фактическое выполнение и причины отклонений.</w:t>
      </w:r>
    </w:p>
    <w:p>
      <w:pPr>
        <w:pStyle w:val="Normal"/>
      </w:pPr>
      <w:r>
        <w:rPr/>
        <w:t xml:space="preserve">Для каждого графика система показывает последовательность работ, передачи промежуточных заданий между специальностями, плановые и фактические сроки, критический путь и стоимость. Для портфеля объектов — состояние графиков на выбранную дату, просрочки, продления, ближайшие события и загрузку специальностей. Основное интерактивное представление — диаграмма Ганта. Обязательный выходной документ — Excel-график отдельного вида работ, подготовленный к печати на А4.</w:t>
      </w:r>
    </w:p>
    <w:p>
      <w:pPr>
        <w:pStyle w:val="Heading2"/>
      </w:pPr>
      <w:r>
        <w:rPr/>
        <w:t xml:space="preserve">1.1. Проблемы, которые решает продукт</w:t>
      </w:r>
    </w:p>
    <w:p>
      <w:pPr>
        <w:pStyle w:val="ListParagraph"/>
      </w:pPr>
      <w:r>
        <w:rPr/>
        <w:t xml:space="preserve">• </w:t>
      </w:r>
      <w:r>
        <w:rPr/>
        <w:t xml:space="preserve">Разрозненные графики сложно сопоставлять и сводить к одной дате отчёта.</w:t>
      </w:r>
    </w:p>
    <w:p>
      <w:pPr>
        <w:pStyle w:val="ListParagraph"/>
      </w:pPr>
      <w:r>
        <w:rPr/>
        <w:t xml:space="preserve">• </w:t>
      </w:r>
      <w:r>
        <w:rPr/>
        <w:t xml:space="preserve">Перенос срока одной специальности может повлиять на другие, а технологические связи недостаточно видны в обычной таблице.</w:t>
      </w:r>
    </w:p>
    <w:p>
      <w:pPr>
        <w:pStyle w:val="ListParagraph"/>
      </w:pPr>
      <w:r>
        <w:rPr/>
        <w:t xml:space="preserve">• </w:t>
      </w:r>
      <w:r>
        <w:rPr/>
        <w:t xml:space="preserve">После изменения планов теряется сравнение с первоначальными обязательствами.</w:t>
      </w:r>
    </w:p>
    <w:p>
      <w:pPr>
        <w:pStyle w:val="ListParagraph"/>
      </w:pPr>
      <w:r>
        <w:rPr/>
        <w:t xml:space="preserve">• </w:t>
      </w:r>
      <w:r>
        <w:rPr/>
        <w:t xml:space="preserve">Ручная сборка отчётности создаёт повторный ввод и риск несовпадения данных.</w:t>
      </w:r>
    </w:p>
    <w:p>
      <w:pPr>
        <w:pStyle w:val="ListParagraph"/>
      </w:pPr>
      <w:r>
        <w:rPr/>
        <w:t xml:space="preserve">• </w:t>
      </w:r>
      <w:r>
        <w:rPr/>
        <w:t xml:space="preserve">Суммы и занятость специальностей трудно оценить по всему портфелю.</w:t>
      </w:r>
    </w:p>
    <w:p>
      <w:pPr>
        <w:pStyle w:val="Heading2"/>
      </w:pPr>
      <w:r>
        <w:rPr/>
        <w:t xml:space="preserve">1.2. Измеримые ориентиры</w:t>
      </w:r>
    </w:p>
    <w:tbl>
      <w:tblPr>
        <w:tblW w:w="9500" w:type="dxa"/>
        <w:tblLayout w:type="fixed"/>
        <w:tblBorders>
          <w:top w:val="single" w:sz="4" w:color="CBD6DF"/>
          <w:left w:val="single" w:sz="4" w:color="CBD6DF"/>
          <w:bottom w:val="single" w:sz="4" w:color="CBD6DF"/>
          <w:right w:val="single" w:sz="4" w:color="CBD6DF"/>
          <w:insideH w:val="single" w:sz="4" w:color="CBD6DF"/>
          <w:insideV w:val="single" w:sz="4" w:color="CBD6DF"/>
        </w:tblBorders>
        <w:tblCellMar>
          <w:top w:w="70" w:type="dxa"/>
          <w:bottom w:w="70" w:type="dxa"/>
          <w:left w:w="85" w:type="dxa"/>
          <w:right w:w="85" w:type="dxa"/>
        </w:tblCellMar>
      </w:tblPr>
      <w:tblGrid>
        <w:gridCol w:w="2337"/>
        <w:gridCol w:w="4257"/>
        <w:gridCol w:w="2906"/>
      </w:tblGrid>
      <w:tr>
        <w:trPr>
          <w:cantSplit/>
          <w:tblHeader/>
        </w:trPr>
        <w:tc>
          <w:tcPr>
            <w:tcW w:w="2337" w:type="dxa"/>
            <w:vAlign w:val="top"/>
            <w:shd w:fill="E7F0F5"/>
          </w:tcPr>
          <w:p>
            <w:pPr>
              <w:pStyle w:val="TableHeader"/>
            </w:pPr>
            <w:r>
              <w:rPr/>
              <w:t xml:space="preserve">Показатель</w:t>
            </w:r>
          </w:p>
        </w:tc>
        <w:tc>
          <w:tcPr>
            <w:tcW w:w="4257" w:type="dxa"/>
            <w:vAlign w:val="top"/>
            <w:shd w:fill="E7F0F5"/>
          </w:tcPr>
          <w:p>
            <w:pPr>
              <w:pStyle w:val="TableHeader"/>
            </w:pPr>
            <w:r>
              <w:rPr/>
              <w:t xml:space="preserve">Целевое значение первой версии</w:t>
            </w:r>
          </w:p>
        </w:tc>
        <w:tc>
          <w:tcPr>
            <w:tcW w:w="2906" w:type="dxa"/>
            <w:vAlign w:val="top"/>
            <w:shd w:fill="E7F0F5"/>
          </w:tcPr>
          <w:p>
            <w:pPr>
              <w:pStyle w:val="TableHeader"/>
            </w:pPr>
            <w:r>
              <w:rPr/>
              <w:t xml:space="preserve">Как проверять</w:t>
            </w:r>
          </w:p>
        </w:tc>
      </w:tr>
      <w:tr>
        <w:trPr>
          <w:cantSplit/>
        </w:trPr>
        <w:tc>
          <w:tcPr>
            <w:tcW w:w="2337" w:type="dxa"/>
            <w:vAlign w:val="top"/>
          </w:tcPr>
          <w:p>
            <w:pPr>
              <w:pStyle w:val="TableText"/>
            </w:pPr>
            <w:r>
              <w:rPr/>
              <w:t xml:space="preserve">Полнота действующих графиков</w:t>
            </w:r>
          </w:p>
        </w:tc>
        <w:tc>
          <w:tcPr>
            <w:tcW w:w="4257" w:type="dxa"/>
            <w:vAlign w:val="top"/>
          </w:tcPr>
          <w:p>
            <w:pPr>
              <w:pStyle w:val="TableText"/>
            </w:pPr>
            <w:r>
              <w:rPr/>
              <w:t xml:space="preserve">100% утверждённых графиков имеют объект, стадию, этап, ГИПа, модель, сроки, специальности, суммы и ответственных</w:t>
            </w:r>
          </w:p>
        </w:tc>
        <w:tc>
          <w:tcPr>
            <w:tcW w:w="2906" w:type="dxa"/>
            <w:vAlign w:val="top"/>
          </w:tcPr>
          <w:p>
            <w:pPr>
              <w:pStyle w:val="TableText"/>
            </w:pPr>
            <w:r>
              <w:rPr/>
              <w:t xml:space="preserve">Автоматический контроль обязательных полей</w:t>
            </w:r>
          </w:p>
        </w:tc>
      </w:tr>
      <w:tr>
        <w:trPr>
          <w:cantSplit/>
        </w:trPr>
        <w:tc>
          <w:tcPr>
            <w:tcW w:w="2337" w:type="dxa"/>
            <w:vAlign w:val="top"/>
            <w:shd w:fill="F7FAFC"/>
          </w:tcPr>
          <w:p>
            <w:pPr>
              <w:pStyle w:val="TableText"/>
            </w:pPr>
            <w:r>
              <w:rPr/>
              <w:t xml:space="preserve">Воспроизводимость отчёта</w:t>
            </w:r>
          </w:p>
        </w:tc>
        <w:tc>
          <w:tcPr>
            <w:tcW w:w="4257" w:type="dxa"/>
            <w:vAlign w:val="top"/>
            <w:shd w:fill="F7FAFC"/>
          </w:tcPr>
          <w:p>
            <w:pPr>
              <w:pStyle w:val="TableText"/>
            </w:pPr>
            <w:r>
              <w:rPr/>
              <w:t xml:space="preserve">Сохранённый отчёт повторно выдаёт тот же набор данных и параметры</w:t>
            </w:r>
          </w:p>
        </w:tc>
        <w:tc>
          <w:tcPr>
            <w:tcW w:w="2906" w:type="dxa"/>
            <w:vAlign w:val="top"/>
            <w:shd w:fill="F7FAFC"/>
          </w:tcPr>
          <w:p>
            <w:pPr>
              <w:pStyle w:val="TableText"/>
            </w:pPr>
            <w:r>
              <w:rPr/>
              <w:t xml:space="preserve">Сопоставление снимка и повторной выгрузки</w:t>
            </w:r>
          </w:p>
        </w:tc>
      </w:tr>
      <w:tr>
        <w:trPr>
          <w:cantSplit/>
        </w:trPr>
        <w:tc>
          <w:tcPr>
            <w:tcW w:w="2337" w:type="dxa"/>
            <w:vAlign w:val="top"/>
          </w:tcPr>
          <w:p>
            <w:pPr>
              <w:pStyle w:val="TableText"/>
            </w:pPr>
            <w:r>
              <w:rPr/>
              <w:t xml:space="preserve">Подготовка планёрки</w:t>
            </w:r>
          </w:p>
        </w:tc>
        <w:tc>
          <w:tcPr>
            <w:tcW w:w="4257" w:type="dxa"/>
            <w:vAlign w:val="top"/>
          </w:tcPr>
          <w:p>
            <w:pPr>
              <w:pStyle w:val="TableText"/>
            </w:pPr>
            <w:r>
              <w:rPr/>
              <w:t xml:space="preserve">Сводный отчёт и выборка просрочек формируются без ручного сведения отдельных файлов</w:t>
            </w:r>
          </w:p>
        </w:tc>
        <w:tc>
          <w:tcPr>
            <w:tcW w:w="2906" w:type="dxa"/>
            <w:vAlign w:val="top"/>
          </w:tcPr>
          <w:p>
            <w:pPr>
              <w:pStyle w:val="TableText"/>
            </w:pPr>
            <w:r>
              <w:rPr/>
              <w:t xml:space="preserve">Пользовательский сценарий приёмки</w:t>
            </w:r>
          </w:p>
        </w:tc>
      </w:tr>
      <w:tr>
        <w:trPr>
          <w:cantSplit/>
        </w:trPr>
        <w:tc>
          <w:tcPr>
            <w:tcW w:w="2337" w:type="dxa"/>
            <w:vAlign w:val="top"/>
            <w:shd w:fill="F7FAFC"/>
          </w:tcPr>
          <w:p>
            <w:pPr>
              <w:pStyle w:val="TableText"/>
            </w:pPr>
            <w:r>
              <w:rPr/>
              <w:t xml:space="preserve">Отслеживаемость изменений</w:t>
            </w:r>
          </w:p>
        </w:tc>
        <w:tc>
          <w:tcPr>
            <w:tcW w:w="4257" w:type="dxa"/>
            <w:vAlign w:val="top"/>
            <w:shd w:fill="F7FAFC"/>
          </w:tcPr>
          <w:p>
            <w:pPr>
              <w:pStyle w:val="TableText"/>
            </w:pPr>
            <w:r>
              <w:rPr/>
              <w:t xml:space="preserve">100% изменений утверждённых планов и факта имеют автора и время</w:t>
            </w:r>
          </w:p>
        </w:tc>
        <w:tc>
          <w:tcPr>
            <w:tcW w:w="2906" w:type="dxa"/>
            <w:vAlign w:val="top"/>
            <w:shd w:fill="F7FAFC"/>
          </w:tcPr>
          <w:p>
            <w:pPr>
              <w:pStyle w:val="TableText"/>
            </w:pPr>
            <w:r>
              <w:rPr/>
              <w:t xml:space="preserve">Проверка журнала</w:t>
            </w:r>
          </w:p>
        </w:tc>
      </w:tr>
      <w:tr>
        <w:trPr>
          <w:cantSplit/>
        </w:trPr>
        <w:tc>
          <w:tcPr>
            <w:tcW w:w="2337" w:type="dxa"/>
            <w:vAlign w:val="top"/>
          </w:tcPr>
          <w:p>
            <w:pPr>
              <w:pStyle w:val="TableText"/>
            </w:pPr>
            <w:r>
              <w:rPr/>
              <w:t xml:space="preserve">Актуальность контроля</w:t>
            </w:r>
          </w:p>
        </w:tc>
        <w:tc>
          <w:tcPr>
            <w:tcW w:w="4257" w:type="dxa"/>
            <w:vAlign w:val="top"/>
          </w:tcPr>
          <w:p>
            <w:pPr>
              <w:pStyle w:val="TableText"/>
            </w:pPr>
            <w:r>
              <w:rPr/>
              <w:t xml:space="preserve">Обновление факта или отметка «без изменений» в течение 2 рабочих дней после контрольного срока</w:t>
            </w:r>
          </w:p>
        </w:tc>
        <w:tc>
          <w:tcPr>
            <w:tcW w:w="2906" w:type="dxa"/>
            <w:vAlign w:val="top"/>
          </w:tcPr>
          <w:p>
            <w:pPr>
              <w:pStyle w:val="TableText"/>
            </w:pPr>
            <w:r>
              <w:rPr/>
              <w:t xml:space="preserve">Отчёт качества данных; это предлагаемый регламент</w:t>
            </w:r>
          </w:p>
        </w:tc>
      </w:tr>
      <w:tr>
        <w:trPr>
          <w:cantSplit/>
        </w:trPr>
        <w:tc>
          <w:tcPr>
            <w:tcW w:w="2337" w:type="dxa"/>
            <w:vAlign w:val="top"/>
            <w:shd w:fill="F7FAFC"/>
          </w:tcPr>
          <w:p>
            <w:pPr>
              <w:pStyle w:val="TableText"/>
            </w:pPr>
            <w:r>
              <w:rPr/>
              <w:t xml:space="preserve">Скорость подготовки графика</w:t>
            </w:r>
          </w:p>
        </w:tc>
        <w:tc>
          <w:tcPr>
            <w:tcW w:w="4257" w:type="dxa"/>
            <w:vAlign w:val="top"/>
            <w:shd w:fill="F7FAFC"/>
          </w:tcPr>
          <w:p>
            <w:pPr>
              <w:pStyle w:val="TableText"/>
            </w:pPr>
            <w:r>
              <w:rPr/>
              <w:t xml:space="preserve">Не более 15 минут на типовой график при заполненных справочниках</w:t>
            </w:r>
          </w:p>
        </w:tc>
        <w:tc>
          <w:tcPr>
            <w:tcW w:w="2906" w:type="dxa"/>
            <w:vAlign w:val="top"/>
            <w:shd w:fill="F7FAFC"/>
          </w:tcPr>
          <w:p>
            <w:pPr>
              <w:pStyle w:val="TableText"/>
            </w:pPr>
            <w:r>
              <w:rPr/>
              <w:t xml:space="preserve">Проверка на пилоте; не включает согласование</w:t>
            </w:r>
          </w:p>
        </w:tc>
      </w:tr>
    </w:tbl>
    <w:p>
      <w:pPr>
        <w:pStyle w:val="TableAfter"/>
      </w:pPr>
    </w:p>
    <w:p>
      <w:pPr>
        <w:pStyle w:val="Normal"/>
      </w:pPr>
      <w:r>
        <w:rPr/>
        <w:t xml:space="preserve">Целевые значения являются критериями продукта и пилота. Исходные показатели организации пока не измерены.</w:t>
      </w:r>
    </w:p>
    <w:p>
      <w:pPr>
        <w:pStyle w:val="Heading1"/>
      </w:pPr>
      <w:bookmarkStart w:id="2" w:name="section_2"/>
      <w:r>
        <w:rPr/>
        <w:t xml:space="preserve">2. Подтверждённые требования и принятые решения</w:t>
      </w:r>
      <w:bookmarkEnd w:id="2"/>
    </w:p>
    <w:p>
      <w:pPr>
        <w:pStyle w:val="Heading2"/>
      </w:pPr>
      <w:r>
        <w:rPr/>
        <w:t xml:space="preserve">2.1. Требования заказчика</w:t>
      </w:r>
    </w:p>
    <w:tbl>
      <w:tblPr>
        <w:tblW w:w="9500" w:type="dxa"/>
        <w:tblLayout w:type="fixed"/>
        <w:tblBorders>
          <w:top w:val="single" w:sz="4" w:color="CBD6DF"/>
          <w:left w:val="single" w:sz="4" w:color="CBD6DF"/>
          <w:bottom w:val="single" w:sz="4" w:color="CBD6DF"/>
          <w:right w:val="single" w:sz="4" w:color="CBD6DF"/>
          <w:insideH w:val="single" w:sz="4" w:color="CBD6DF"/>
          <w:insideV w:val="single" w:sz="4" w:color="CBD6DF"/>
        </w:tblBorders>
        <w:tblCellMar>
          <w:top w:w="70" w:type="dxa"/>
          <w:bottom w:w="70" w:type="dxa"/>
          <w:left w:w="85" w:type="dxa"/>
          <w:right w:w="85" w:type="dxa"/>
        </w:tblCellMar>
      </w:tblPr>
      <w:tblGrid>
        <w:gridCol w:w="1564"/>
        <w:gridCol w:w="6099"/>
        <w:gridCol w:w="1837"/>
      </w:tblGrid>
      <w:tr>
        <w:trPr>
          <w:cantSplit/>
          <w:tblHeader/>
        </w:trPr>
        <w:tc>
          <w:tcPr>
            <w:tcW w:w="1564" w:type="dxa"/>
            <w:vAlign w:val="top"/>
            <w:shd w:fill="E7F0F5"/>
          </w:tcPr>
          <w:p>
            <w:pPr>
              <w:pStyle w:val="TableHeader"/>
            </w:pPr>
            <w:r>
              <w:rPr/>
              <w:t xml:space="preserve">ID</w:t>
            </w:r>
          </w:p>
        </w:tc>
        <w:tc>
          <w:tcPr>
            <w:tcW w:w="6099" w:type="dxa"/>
            <w:vAlign w:val="top"/>
            <w:shd w:fill="E7F0F5"/>
          </w:tcPr>
          <w:p>
            <w:pPr>
              <w:pStyle w:val="TableHeader"/>
            </w:pPr>
            <w:r>
              <w:rPr/>
              <w:t xml:space="preserve">Подтверждённое требование</w:t>
            </w:r>
          </w:p>
        </w:tc>
        <w:tc>
          <w:tcPr>
            <w:tcW w:w="1837" w:type="dxa"/>
            <w:vAlign w:val="top"/>
            <w:shd w:fill="E7F0F5"/>
          </w:tcPr>
          <w:p>
            <w:pPr>
              <w:pStyle w:val="TableHeader"/>
            </w:pPr>
            <w:r>
              <w:rPr/>
              <w:t xml:space="preserve">Раздел реализации</w:t>
            </w:r>
          </w:p>
        </w:tc>
      </w:tr>
      <w:tr>
        <w:trPr>
          <w:cantSplit/>
        </w:trPr>
        <w:tc>
          <w:tcPr>
            <w:tcW w:w="1564" w:type="dxa"/>
            <w:vAlign w:val="top"/>
          </w:tcPr>
          <w:p>
            <w:pPr>
              <w:pStyle w:val="TableText"/>
            </w:pPr>
            <w:r>
              <w:rPr/>
              <w:t xml:space="preserve">U-01</w:t>
            </w:r>
          </w:p>
        </w:tc>
        <w:tc>
          <w:tcPr>
            <w:tcW w:w="6099" w:type="dxa"/>
            <w:vAlign w:val="top"/>
          </w:tcPr>
          <w:p>
            <w:pPr>
              <w:pStyle w:val="TableText"/>
            </w:pPr>
            <w:r>
              <w:rPr/>
              <w:t xml:space="preserve">Веб-приложение для контроля сроков ПИР и отчётов руководству</w:t>
            </w:r>
          </w:p>
        </w:tc>
        <w:tc>
          <w:tcPr>
            <w:tcW w:w="1837" w:type="dxa"/>
            <w:vAlign w:val="top"/>
          </w:tcPr>
          <w:p>
            <w:pPr>
              <w:pStyle w:val="TableText"/>
            </w:pPr>
            <w:r>
              <w:rPr/>
              <w:t xml:space="preserve">1, 11, 14</w:t>
            </w:r>
          </w:p>
        </w:tc>
      </w:tr>
      <w:tr>
        <w:trPr>
          <w:cantSplit/>
        </w:trPr>
        <w:tc>
          <w:tcPr>
            <w:tcW w:w="1564" w:type="dxa"/>
            <w:vAlign w:val="top"/>
            <w:shd w:fill="F7FAFC"/>
          </w:tcPr>
          <w:p>
            <w:pPr>
              <w:pStyle w:val="TableText"/>
            </w:pPr>
            <w:r>
              <w:rPr/>
              <w:t xml:space="preserve">U-02</w:t>
            </w:r>
          </w:p>
        </w:tc>
        <w:tc>
          <w:tcPr>
            <w:tcW w:w="6099" w:type="dxa"/>
            <w:vAlign w:val="top"/>
            <w:shd w:fill="F7FAFC"/>
          </w:tcPr>
          <w:p>
            <w:pPr>
              <w:pStyle w:val="TableText"/>
            </w:pPr>
            <w:r>
              <w:rPr/>
              <w:t xml:space="preserve">График создаёт ГИП; утверждает финансовый или технический директор</w:t>
            </w:r>
          </w:p>
        </w:tc>
        <w:tc>
          <w:tcPr>
            <w:tcW w:w="1837" w:type="dxa"/>
            <w:vAlign w:val="top"/>
            <w:shd w:fill="F7FAFC"/>
          </w:tcPr>
          <w:p>
            <w:pPr>
              <w:pStyle w:val="TableText"/>
            </w:pPr>
            <w:r>
              <w:rPr/>
              <w:t xml:space="preserve">4, 5</w:t>
            </w:r>
          </w:p>
        </w:tc>
      </w:tr>
      <w:tr>
        <w:trPr>
          <w:cantSplit/>
        </w:trPr>
        <w:tc>
          <w:tcPr>
            <w:tcW w:w="1564" w:type="dxa"/>
            <w:vAlign w:val="top"/>
          </w:tcPr>
          <w:p>
            <w:pPr>
              <w:pStyle w:val="TableText"/>
            </w:pPr>
            <w:r>
              <w:rPr/>
              <w:t xml:space="preserve">U-03</w:t>
            </w:r>
          </w:p>
        </w:tc>
        <w:tc>
          <w:tcPr>
            <w:tcW w:w="6099" w:type="dxa"/>
            <w:vAlign w:val="top"/>
          </w:tcPr>
          <w:p>
            <w:pPr>
              <w:pStyle w:val="TableText"/>
            </w:pPr>
            <w:r>
              <w:rPr/>
              <w:t xml:space="preserve">Факт контролирует служба координирования производства</w:t>
            </w:r>
          </w:p>
        </w:tc>
        <w:tc>
          <w:tcPr>
            <w:tcW w:w="1837" w:type="dxa"/>
            <w:vAlign w:val="top"/>
          </w:tcPr>
          <w:p>
            <w:pPr>
              <w:pStyle w:val="TableText"/>
            </w:pPr>
            <w:r>
              <w:rPr/>
              <w:t xml:space="preserve">4, 9</w:t>
            </w:r>
          </w:p>
        </w:tc>
      </w:tr>
      <w:tr>
        <w:trPr>
          <w:cantSplit/>
        </w:trPr>
        <w:tc>
          <w:tcPr>
            <w:tcW w:w="1564" w:type="dxa"/>
            <w:vAlign w:val="top"/>
            <w:shd w:fill="F7FAFC"/>
          </w:tcPr>
          <w:p>
            <w:pPr>
              <w:pStyle w:val="TableText"/>
            </w:pPr>
            <w:r>
              <w:rPr/>
              <w:t xml:space="preserve">U-04</w:t>
            </w:r>
          </w:p>
        </w:tc>
        <w:tc>
          <w:tcPr>
            <w:tcW w:w="6099" w:type="dxa"/>
            <w:vAlign w:val="top"/>
            <w:shd w:fill="F7FAFC"/>
          </w:tcPr>
          <w:p>
            <w:pPr>
              <w:pStyle w:val="TableText"/>
            </w:pPr>
            <w:r>
              <w:rPr/>
              <w:t xml:space="preserve">Иерархия: объект, стадия, этап календарного плана, график вида работ, специальности</w:t>
            </w:r>
          </w:p>
        </w:tc>
        <w:tc>
          <w:tcPr>
            <w:tcW w:w="1837" w:type="dxa"/>
            <w:vAlign w:val="top"/>
            <w:shd w:fill="F7FAFC"/>
          </w:tcPr>
          <w:p>
            <w:pPr>
              <w:pStyle w:val="TableText"/>
            </w:pPr>
            <w:r>
              <w:rPr/>
              <w:t xml:space="preserve">6</w:t>
            </w:r>
          </w:p>
        </w:tc>
      </w:tr>
      <w:tr>
        <w:trPr>
          <w:cantSplit/>
        </w:trPr>
        <w:tc>
          <w:tcPr>
            <w:tcW w:w="1564" w:type="dxa"/>
            <w:vAlign w:val="top"/>
          </w:tcPr>
          <w:p>
            <w:pPr>
              <w:pStyle w:val="TableText"/>
            </w:pPr>
            <w:r>
              <w:rPr/>
              <w:t xml:space="preserve">U-05</w:t>
            </w:r>
          </w:p>
        </w:tc>
        <w:tc>
          <w:tcPr>
            <w:tcW w:w="6099" w:type="dxa"/>
            <w:vAlign w:val="top"/>
          </w:tcPr>
          <w:p>
            <w:pPr>
              <w:pStyle w:val="TableText"/>
            </w:pPr>
            <w:r>
              <w:rPr/>
              <w:t xml:space="preserve">Существующие сетевые модели; на объекте применяются разные модели</w:t>
            </w:r>
          </w:p>
        </w:tc>
        <w:tc>
          <w:tcPr>
            <w:tcW w:w="1837" w:type="dxa"/>
            <w:vAlign w:val="top"/>
          </w:tcPr>
          <w:p>
            <w:pPr>
              <w:pStyle w:val="TableText"/>
            </w:pPr>
            <w:r>
              <w:rPr/>
              <w:t xml:space="preserve">7, приложения А–В</w:t>
            </w:r>
          </w:p>
        </w:tc>
      </w:tr>
      <w:tr>
        <w:trPr>
          <w:cantSplit/>
        </w:trPr>
        <w:tc>
          <w:tcPr>
            <w:tcW w:w="1564" w:type="dxa"/>
            <w:vAlign w:val="top"/>
            <w:shd w:fill="F7FAFC"/>
          </w:tcPr>
          <w:p>
            <w:pPr>
              <w:pStyle w:val="TableText"/>
            </w:pPr>
            <w:r>
              <w:rPr/>
              <w:t xml:space="preserve">U-06</w:t>
            </w:r>
          </w:p>
        </w:tc>
        <w:tc>
          <w:tcPr>
            <w:tcW w:w="6099" w:type="dxa"/>
            <w:vAlign w:val="top"/>
            <w:shd w:fill="F7FAFC"/>
          </w:tcPr>
          <w:p>
            <w:pPr>
              <w:pStyle w:val="TableText"/>
            </w:pPr>
            <w:r>
              <w:rPr/>
              <w:t xml:space="preserve">Учёт выдающей и получающей специальности, содержания задания и срока передачи</w:t>
            </w:r>
          </w:p>
        </w:tc>
        <w:tc>
          <w:tcPr>
            <w:tcW w:w="1837" w:type="dxa"/>
            <w:vAlign w:val="top"/>
            <w:shd w:fill="F7FAFC"/>
          </w:tcPr>
          <w:p>
            <w:pPr>
              <w:pStyle w:val="TableText"/>
            </w:pPr>
            <w:r>
              <w:rPr/>
              <w:t xml:space="preserve">7, 9</w:t>
            </w:r>
          </w:p>
        </w:tc>
      </w:tr>
      <w:tr>
        <w:trPr>
          <w:cantSplit/>
        </w:trPr>
        <w:tc>
          <w:tcPr>
            <w:tcW w:w="1564" w:type="dxa"/>
            <w:vAlign w:val="top"/>
          </w:tcPr>
          <w:p>
            <w:pPr>
              <w:pStyle w:val="TableText"/>
            </w:pPr>
            <w:r>
              <w:rPr/>
              <w:t xml:space="preserve">U-07</w:t>
            </w:r>
          </w:p>
        </w:tc>
        <w:tc>
          <w:tcPr>
            <w:tcW w:w="6099" w:type="dxa"/>
            <w:vAlign w:val="top"/>
          </w:tcPr>
          <w:p>
            <w:pPr>
              <w:pStyle w:val="TableText"/>
            </w:pPr>
            <w:r>
              <w:rPr/>
              <w:t xml:space="preserve">Ручной ввод сроков, диаграмма Ганта, критический путь</w:t>
            </w:r>
          </w:p>
        </w:tc>
        <w:tc>
          <w:tcPr>
            <w:tcW w:w="1837" w:type="dxa"/>
            <w:vAlign w:val="top"/>
          </w:tcPr>
          <w:p>
            <w:pPr>
              <w:pStyle w:val="TableText"/>
            </w:pPr>
            <w:r>
              <w:rPr/>
              <w:t xml:space="preserve">8, 12</w:t>
            </w:r>
          </w:p>
        </w:tc>
      </w:tr>
      <w:tr>
        <w:trPr>
          <w:cantSplit/>
        </w:trPr>
        <w:tc>
          <w:tcPr>
            <w:tcW w:w="1564" w:type="dxa"/>
            <w:vAlign w:val="top"/>
            <w:shd w:fill="F7FAFC"/>
          </w:tcPr>
          <w:p>
            <w:pPr>
              <w:pStyle w:val="TableText"/>
            </w:pPr>
            <w:r>
              <w:rPr/>
              <w:t xml:space="preserve">U-08</w:t>
            </w:r>
          </w:p>
        </w:tc>
        <w:tc>
          <w:tcPr>
            <w:tcW w:w="6099" w:type="dxa"/>
            <w:vAlign w:val="top"/>
            <w:shd w:fill="F7FAFC"/>
          </w:tcPr>
          <w:p>
            <w:pPr>
              <w:pStyle w:val="TableText"/>
            </w:pPr>
            <w:r>
              <w:rPr/>
              <w:t xml:space="preserve">Рабочие дни, пятидневная неделя, праздники Республики Узбекистан</w:t>
            </w:r>
          </w:p>
        </w:tc>
        <w:tc>
          <w:tcPr>
            <w:tcW w:w="1837" w:type="dxa"/>
            <w:vAlign w:val="top"/>
            <w:shd w:fill="F7FAFC"/>
          </w:tcPr>
          <w:p>
            <w:pPr>
              <w:pStyle w:val="TableText"/>
            </w:pPr>
            <w:r>
              <w:rPr/>
              <w:t xml:space="preserve">8.1</w:t>
            </w:r>
          </w:p>
        </w:tc>
      </w:tr>
      <w:tr>
        <w:trPr>
          <w:cantSplit/>
        </w:trPr>
        <w:tc>
          <w:tcPr>
            <w:tcW w:w="1564" w:type="dxa"/>
            <w:vAlign w:val="top"/>
          </w:tcPr>
          <w:p>
            <w:pPr>
              <w:pStyle w:val="TableText"/>
            </w:pPr>
            <w:r>
              <w:rPr/>
              <w:t xml:space="preserve">U-09</w:t>
            </w:r>
          </w:p>
        </w:tc>
        <w:tc>
          <w:tcPr>
            <w:tcW w:w="6099" w:type="dxa"/>
            <w:vAlign w:val="top"/>
          </w:tcPr>
          <w:p>
            <w:pPr>
              <w:pStyle w:val="TableText"/>
            </w:pPr>
            <w:r>
              <w:rPr/>
              <w:t xml:space="preserve">Фактические даты, процент готовности, причины задержек и продления</w:t>
            </w:r>
          </w:p>
        </w:tc>
        <w:tc>
          <w:tcPr>
            <w:tcW w:w="1837" w:type="dxa"/>
            <w:vAlign w:val="top"/>
          </w:tcPr>
          <w:p>
            <w:pPr>
              <w:pStyle w:val="TableText"/>
            </w:pPr>
            <w:r>
              <w:rPr/>
              <w:t xml:space="preserve">5, 9</w:t>
            </w:r>
          </w:p>
        </w:tc>
      </w:tr>
      <w:tr>
        <w:trPr>
          <w:cantSplit/>
        </w:trPr>
        <w:tc>
          <w:tcPr>
            <w:tcW w:w="1564" w:type="dxa"/>
            <w:vAlign w:val="top"/>
            <w:shd w:fill="F7FAFC"/>
          </w:tcPr>
          <w:p>
            <w:pPr>
              <w:pStyle w:val="TableText"/>
            </w:pPr>
            <w:r>
              <w:rPr/>
              <w:t xml:space="preserve">U-10</w:t>
            </w:r>
          </w:p>
        </w:tc>
        <w:tc>
          <w:tcPr>
            <w:tcW w:w="6099" w:type="dxa"/>
            <w:vAlign w:val="top"/>
            <w:shd w:fill="F7FAFC"/>
          </w:tcPr>
          <w:p>
            <w:pPr>
              <w:pStyle w:val="TableText"/>
            </w:pPr>
            <w:r>
              <w:rPr/>
              <w:t xml:space="preserve">ФИО ГИПа, авторов разделов, названия отделов; отвечает начальник отдела</w:t>
            </w:r>
          </w:p>
        </w:tc>
        <w:tc>
          <w:tcPr>
            <w:tcW w:w="1837" w:type="dxa"/>
            <w:vAlign w:val="top"/>
            <w:shd w:fill="F7FAFC"/>
          </w:tcPr>
          <w:p>
            <w:pPr>
              <w:pStyle w:val="TableText"/>
            </w:pPr>
            <w:r>
              <w:rPr/>
              <w:t xml:space="preserve">4, 6</w:t>
            </w:r>
          </w:p>
        </w:tc>
      </w:tr>
      <w:tr>
        <w:trPr>
          <w:cantSplit/>
        </w:trPr>
        <w:tc>
          <w:tcPr>
            <w:tcW w:w="1564" w:type="dxa"/>
            <w:vAlign w:val="top"/>
          </w:tcPr>
          <w:p>
            <w:pPr>
              <w:pStyle w:val="TableText"/>
            </w:pPr>
            <w:r>
              <w:rPr/>
              <w:t xml:space="preserve">U-11</w:t>
            </w:r>
          </w:p>
        </w:tc>
        <w:tc>
          <w:tcPr>
            <w:tcW w:w="6099" w:type="dxa"/>
            <w:vAlign w:val="top"/>
          </w:tcPr>
          <w:p>
            <w:pPr>
              <w:pStyle w:val="TableText"/>
            </w:pPr>
            <w:r>
              <w:rPr/>
              <w:t xml:space="preserve">Суммы графика и специальностей вводит ГИП; валюта — сум</w:t>
            </w:r>
          </w:p>
        </w:tc>
        <w:tc>
          <w:tcPr>
            <w:tcW w:w="1837" w:type="dxa"/>
            <w:vAlign w:val="top"/>
          </w:tcPr>
          <w:p>
            <w:pPr>
              <w:pStyle w:val="TableText"/>
            </w:pPr>
            <w:r>
              <w:rPr/>
              <w:t xml:space="preserve">10</w:t>
            </w:r>
          </w:p>
        </w:tc>
      </w:tr>
      <w:tr>
        <w:trPr>
          <w:cantSplit/>
        </w:trPr>
        <w:tc>
          <w:tcPr>
            <w:tcW w:w="1564" w:type="dxa"/>
            <w:vAlign w:val="top"/>
            <w:shd w:fill="F7FAFC"/>
          </w:tcPr>
          <w:p>
            <w:pPr>
              <w:pStyle w:val="TableText"/>
            </w:pPr>
            <w:r>
              <w:rPr/>
              <w:t xml:space="preserve">U-12</w:t>
            </w:r>
          </w:p>
        </w:tc>
        <w:tc>
          <w:tcPr>
            <w:tcW w:w="6099" w:type="dxa"/>
            <w:vAlign w:val="top"/>
            <w:shd w:fill="F7FAFC"/>
          </w:tcPr>
          <w:p>
            <w:pPr>
              <w:pStyle w:val="TableText"/>
            </w:pPr>
            <w:r>
              <w:rPr/>
              <w:t xml:space="preserve">Отчёты по всем графикам на запрашиваемую дату, загрузка специальностей</w:t>
            </w:r>
          </w:p>
        </w:tc>
        <w:tc>
          <w:tcPr>
            <w:tcW w:w="1837" w:type="dxa"/>
            <w:vAlign w:val="top"/>
            <w:shd w:fill="F7FAFC"/>
          </w:tcPr>
          <w:p>
            <w:pPr>
              <w:pStyle w:val="TableText"/>
            </w:pPr>
            <w:r>
              <w:rPr/>
              <w:t xml:space="preserve">11</w:t>
            </w:r>
          </w:p>
        </w:tc>
      </w:tr>
      <w:tr>
        <w:trPr>
          <w:cantSplit/>
        </w:trPr>
        <w:tc>
          <w:tcPr>
            <w:tcW w:w="1564" w:type="dxa"/>
            <w:vAlign w:val="top"/>
          </w:tcPr>
          <w:p>
            <w:pPr>
              <w:pStyle w:val="TableText"/>
            </w:pPr>
            <w:r>
              <w:rPr/>
              <w:t xml:space="preserve">U-13</w:t>
            </w:r>
          </w:p>
        </w:tc>
        <w:tc>
          <w:tcPr>
            <w:tcW w:w="6099" w:type="dxa"/>
            <w:vAlign w:val="top"/>
          </w:tcPr>
          <w:p>
            <w:pPr>
              <w:pStyle w:val="TableText"/>
            </w:pPr>
            <w:r>
              <w:rPr/>
              <w:t xml:space="preserve">График отдельного вида работ на А4, Excel</w:t>
            </w:r>
          </w:p>
        </w:tc>
        <w:tc>
          <w:tcPr>
            <w:tcW w:w="1837" w:type="dxa"/>
            <w:vAlign w:val="top"/>
          </w:tcPr>
          <w:p>
            <w:pPr>
              <w:pStyle w:val="TableText"/>
            </w:pPr>
            <w:r>
              <w:rPr/>
              <w:t xml:space="preserve">13</w:t>
            </w:r>
          </w:p>
        </w:tc>
      </w:tr>
      <w:tr>
        <w:trPr>
          <w:cantSplit/>
        </w:trPr>
        <w:tc>
          <w:tcPr>
            <w:tcW w:w="1564" w:type="dxa"/>
            <w:vAlign w:val="top"/>
            <w:shd w:fill="F7FAFC"/>
          </w:tcPr>
          <w:p>
            <w:pPr>
              <w:pStyle w:val="TableText"/>
            </w:pPr>
            <w:r>
              <w:rPr/>
              <w:t xml:space="preserve">U-14</w:t>
            </w:r>
          </w:p>
        </w:tc>
        <w:tc>
          <w:tcPr>
            <w:tcW w:w="6099" w:type="dxa"/>
            <w:vAlign w:val="top"/>
            <w:shd w:fill="F7FAFC"/>
          </w:tcPr>
          <w:p>
            <w:pPr>
              <w:pStyle w:val="TableText"/>
            </w:pPr>
            <w:r>
              <w:rPr/>
              <w:t xml:space="preserve">Большое число объектов и графиков</w:t>
            </w:r>
          </w:p>
        </w:tc>
        <w:tc>
          <w:tcPr>
            <w:tcW w:w="1837" w:type="dxa"/>
            <w:vAlign w:val="top"/>
            <w:shd w:fill="F7FAFC"/>
          </w:tcPr>
          <w:p>
            <w:pPr>
              <w:pStyle w:val="TableText"/>
            </w:pPr>
            <w:r>
              <w:rPr/>
              <w:t xml:space="preserve">15</w:t>
            </w:r>
          </w:p>
        </w:tc>
      </w:tr>
    </w:tbl>
    <w:p>
      <w:pPr>
        <w:pStyle w:val="TableAfter"/>
      </w:pPr>
    </w:p>
    <w:p>
      <w:pPr>
        <w:pStyle w:val="Heading2"/>
      </w:pPr>
      <w:r>
        <w:rPr/>
        <w:t xml:space="preserve">2.2. Решения по неуточнённым вопросам</w:t>
      </w:r>
    </w:p>
    <w:tbl>
      <w:tblPr>
        <w:tblW w:w="9500" w:type="dxa"/>
        <w:tblLayout w:type="fixed"/>
        <w:tblBorders>
          <w:top w:val="single" w:sz="4" w:color="CBD6DF"/>
          <w:left w:val="single" w:sz="4" w:color="CBD6DF"/>
          <w:bottom w:val="single" w:sz="4" w:color="CBD6DF"/>
          <w:right w:val="single" w:sz="4" w:color="CBD6DF"/>
          <w:insideH w:val="single" w:sz="4" w:color="CBD6DF"/>
          <w:insideV w:val="single" w:sz="4" w:color="CBD6DF"/>
        </w:tblBorders>
        <w:tblCellMar>
          <w:top w:w="70" w:type="dxa"/>
          <w:bottom w:w="70" w:type="dxa"/>
          <w:left w:w="85" w:type="dxa"/>
          <w:right w:w="85" w:type="dxa"/>
        </w:tblCellMar>
      </w:tblPr>
      <w:tblGrid>
        <w:gridCol w:w="965"/>
        <w:gridCol w:w="4333"/>
        <w:gridCol w:w="4202"/>
      </w:tblGrid>
      <w:tr>
        <w:trPr>
          <w:cantSplit/>
          <w:tblHeader/>
        </w:trPr>
        <w:tc>
          <w:tcPr>
            <w:tcW w:w="965" w:type="dxa"/>
            <w:vAlign w:val="top"/>
            <w:shd w:fill="E7F0F5"/>
          </w:tcPr>
          <w:p>
            <w:pPr>
              <w:pStyle w:val="TableHeader"/>
            </w:pPr>
            <w:r>
              <w:rPr/>
              <w:t xml:space="preserve">ID</w:t>
            </w:r>
          </w:p>
        </w:tc>
        <w:tc>
          <w:tcPr>
            <w:tcW w:w="4333" w:type="dxa"/>
            <w:vAlign w:val="top"/>
            <w:shd w:fill="E7F0F5"/>
          </w:tcPr>
          <w:p>
            <w:pPr>
              <w:pStyle w:val="TableHeader"/>
            </w:pPr>
            <w:r>
              <w:rPr/>
              <w:t xml:space="preserve">Решение для версии 1.0</w:t>
            </w:r>
          </w:p>
        </w:tc>
        <w:tc>
          <w:tcPr>
            <w:tcW w:w="4202" w:type="dxa"/>
            <w:vAlign w:val="top"/>
            <w:shd w:fill="E7F0F5"/>
          </w:tcPr>
          <w:p>
            <w:pPr>
              <w:pStyle w:val="TableHeader"/>
            </w:pPr>
            <w:r>
              <w:rPr/>
              <w:t xml:space="preserve">Обоснование и границы</w:t>
            </w:r>
          </w:p>
        </w:tc>
      </w:tr>
      <w:tr>
        <w:trPr>
          <w:cantSplit/>
        </w:trPr>
        <w:tc>
          <w:tcPr>
            <w:tcW w:w="965" w:type="dxa"/>
            <w:vAlign w:val="top"/>
          </w:tcPr>
          <w:p>
            <w:pPr>
              <w:pStyle w:val="TableText"/>
            </w:pPr>
            <w:r>
              <w:rPr/>
              <w:t xml:space="preserve">D-01</w:t>
            </w:r>
          </w:p>
        </w:tc>
        <w:tc>
          <w:tcPr>
            <w:tcW w:w="4333" w:type="dxa"/>
            <w:vAlign w:val="top"/>
          </w:tcPr>
          <w:p>
            <w:pPr>
              <w:pStyle w:val="TableText"/>
            </w:pPr>
            <w:r>
              <w:rPr/>
              <w:t xml:space="preserve">Один график описывает один вид работ одного этапа. График допускает несколько экземпляров сетевых моделей</w:t>
            </w:r>
          </w:p>
        </w:tc>
        <w:tc>
          <w:tcPr>
            <w:tcW w:w="4202" w:type="dxa"/>
            <w:vAlign w:val="top"/>
          </w:tcPr>
          <w:p>
            <w:pPr>
              <w:pStyle w:val="TableText"/>
            </w:pPr>
            <w:r>
              <w:rPr/>
              <w:t xml:space="preserve">У объекта может быть много графиков; комбинация моделей не должна терять исходные шифры</w:t>
            </w:r>
          </w:p>
        </w:tc>
      </w:tr>
      <w:tr>
        <w:trPr>
          <w:cantSplit/>
        </w:trPr>
        <w:tc>
          <w:tcPr>
            <w:tcW w:w="965" w:type="dxa"/>
            <w:vAlign w:val="top"/>
            <w:shd w:fill="F7FAFC"/>
          </w:tcPr>
          <w:p>
            <w:pPr>
              <w:pStyle w:val="TableText"/>
            </w:pPr>
            <w:r>
              <w:rPr/>
              <w:t xml:space="preserve">D-02</w:t>
            </w:r>
          </w:p>
        </w:tc>
        <w:tc>
          <w:tcPr>
            <w:tcW w:w="4333" w:type="dxa"/>
            <w:vAlign w:val="top"/>
            <w:shd w:fill="F7FAFC"/>
          </w:tcPr>
          <w:p>
            <w:pPr>
              <w:pStyle w:val="TableText"/>
            </w:pPr>
            <w:r>
              <w:rPr/>
              <w:t xml:space="preserve">ГИП выбирает применимые специальности и события, сохраняя связь с версией шаблона</w:t>
            </w:r>
          </w:p>
        </w:tc>
        <w:tc>
          <w:tcPr>
            <w:tcW w:w="4202" w:type="dxa"/>
            <w:vAlign w:val="top"/>
            <w:shd w:fill="F7FAFC"/>
          </w:tcPr>
          <w:p>
            <w:pPr>
              <w:pStyle w:val="TableText"/>
            </w:pPr>
            <w:r>
              <w:rPr/>
              <w:t xml:space="preserve">Исключение не должно незаметно разорвать обязательные зависимости</w:t>
            </w:r>
          </w:p>
        </w:tc>
      </w:tr>
      <w:tr>
        <w:trPr>
          <w:cantSplit/>
        </w:trPr>
        <w:tc>
          <w:tcPr>
            <w:tcW w:w="965" w:type="dxa"/>
            <w:vAlign w:val="top"/>
          </w:tcPr>
          <w:p>
            <w:pPr>
              <w:pStyle w:val="TableText"/>
            </w:pPr>
            <w:r>
              <w:rPr/>
              <w:t xml:space="preserve">D-03</w:t>
            </w:r>
          </w:p>
        </w:tc>
        <w:tc>
          <w:tcPr>
            <w:tcW w:w="4333" w:type="dxa"/>
            <w:vAlign w:val="top"/>
          </w:tcPr>
          <w:p>
            <w:pPr>
              <w:pStyle w:val="TableText"/>
            </w:pPr>
            <w:r>
              <w:rPr/>
              <w:t xml:space="preserve">Даты графика, рабочих интервалов и промежуточных событий задаются вручную</w:t>
            </w:r>
          </w:p>
        </w:tc>
        <w:tc>
          <w:tcPr>
            <w:tcW w:w="4202" w:type="dxa"/>
            <w:vAlign w:val="top"/>
          </w:tcPr>
          <w:p>
            <w:pPr>
              <w:pStyle w:val="TableText"/>
            </w:pPr>
            <w:r>
              <w:rPr/>
              <w:t xml:space="preserve">Никакого автоматического переноса дат при редактировании или расчёте критического пути</w:t>
            </w:r>
          </w:p>
        </w:tc>
      </w:tr>
      <w:tr>
        <w:trPr>
          <w:cantSplit/>
        </w:trPr>
        <w:tc>
          <w:tcPr>
            <w:tcW w:w="965" w:type="dxa"/>
            <w:vAlign w:val="top"/>
            <w:shd w:fill="F7FAFC"/>
          </w:tcPr>
          <w:p>
            <w:pPr>
              <w:pStyle w:val="TableText"/>
            </w:pPr>
            <w:r>
              <w:rPr/>
              <w:t xml:space="preserve">D-04</w:t>
            </w:r>
          </w:p>
        </w:tc>
        <w:tc>
          <w:tcPr>
            <w:tcW w:w="4333" w:type="dxa"/>
            <w:vAlign w:val="top"/>
            <w:shd w:fill="F7FAFC"/>
          </w:tcPr>
          <w:p>
            <w:pPr>
              <w:pStyle w:val="TableText"/>
            </w:pPr>
            <w:r>
              <w:rPr/>
              <w:t xml:space="preserve">Проценты из старого образца не участвуют в расчёте сроков и стоимости</w:t>
            </w:r>
          </w:p>
        </w:tc>
        <w:tc>
          <w:tcPr>
            <w:tcW w:w="4202" w:type="dxa"/>
            <w:vAlign w:val="top"/>
            <w:shd w:fill="F7FAFC"/>
          </w:tcPr>
          <w:p>
            <w:pPr>
              <w:pStyle w:val="TableText"/>
            </w:pPr>
            <w:r>
              <w:rPr/>
              <w:t xml:space="preserve">Их значение не подтверждено. При миграции они сохраняются как исходные справочные значения</w:t>
            </w:r>
          </w:p>
        </w:tc>
      </w:tr>
      <w:tr>
        <w:trPr>
          <w:cantSplit/>
        </w:trPr>
        <w:tc>
          <w:tcPr>
            <w:tcW w:w="965" w:type="dxa"/>
            <w:vAlign w:val="top"/>
          </w:tcPr>
          <w:p>
            <w:pPr>
              <w:pStyle w:val="TableText"/>
            </w:pPr>
            <w:r>
              <w:rPr/>
              <w:t xml:space="preserve">D-05</w:t>
            </w:r>
          </w:p>
        </w:tc>
        <w:tc>
          <w:tcPr>
            <w:tcW w:w="4333" w:type="dxa"/>
            <w:vAlign w:val="top"/>
          </w:tcPr>
          <w:p>
            <w:pPr>
              <w:pStyle w:val="TableText"/>
            </w:pPr>
            <w:r>
              <w:rPr/>
              <w:t xml:space="preserve">Для утверждения достаточно одного выбранного директора из двух разрешённых ролей</w:t>
            </w:r>
          </w:p>
        </w:tc>
        <w:tc>
          <w:tcPr>
            <w:tcW w:w="4202" w:type="dxa"/>
            <w:vAlign w:val="top"/>
          </w:tcPr>
          <w:p>
            <w:pPr>
              <w:pStyle w:val="TableText"/>
            </w:pPr>
            <w:r>
              <w:rPr/>
              <w:t xml:space="preserve">Утверждающий фиксируется при отправке; второй директор видит документ</w:t>
            </w:r>
          </w:p>
        </w:tc>
      </w:tr>
      <w:tr>
        <w:trPr>
          <w:cantSplit/>
        </w:trPr>
        <w:tc>
          <w:tcPr>
            <w:tcW w:w="965" w:type="dxa"/>
            <w:vAlign w:val="top"/>
            <w:shd w:fill="F7FAFC"/>
          </w:tcPr>
          <w:p>
            <w:pPr>
              <w:pStyle w:val="TableText"/>
            </w:pPr>
            <w:r>
              <w:rPr/>
              <w:t xml:space="preserve">D-06</w:t>
            </w:r>
          </w:p>
        </w:tc>
        <w:tc>
          <w:tcPr>
            <w:tcW w:w="4333" w:type="dxa"/>
            <w:vAlign w:val="top"/>
            <w:shd w:fill="F7FAFC"/>
          </w:tcPr>
          <w:p>
            <w:pPr>
              <w:pStyle w:val="TableText"/>
            </w:pPr>
            <w:r>
              <w:rPr/>
              <w:t xml:space="preserve">Изменение утверждённых сроков, состава, стоимости и зависимостей требует новой версии и утверждения</w:t>
            </w:r>
          </w:p>
        </w:tc>
        <w:tc>
          <w:tcPr>
            <w:tcW w:w="4202" w:type="dxa"/>
            <w:vAlign w:val="top"/>
            <w:shd w:fill="F7FAFC"/>
          </w:tcPr>
          <w:p>
            <w:pPr>
              <w:pStyle w:val="TableText"/>
            </w:pPr>
            <w:r>
              <w:rPr/>
              <w:t xml:space="preserve">Первоначальный план и история сохраняются</w:t>
            </w:r>
          </w:p>
        </w:tc>
      </w:tr>
      <w:tr>
        <w:trPr>
          <w:cantSplit/>
        </w:trPr>
        <w:tc>
          <w:tcPr>
            <w:tcW w:w="965" w:type="dxa"/>
            <w:vAlign w:val="top"/>
          </w:tcPr>
          <w:p>
            <w:pPr>
              <w:pStyle w:val="TableText"/>
            </w:pPr>
            <w:r>
              <w:rPr/>
              <w:t xml:space="preserve">D-07</w:t>
            </w:r>
          </w:p>
        </w:tc>
        <w:tc>
          <w:tcPr>
            <w:tcW w:w="4333" w:type="dxa"/>
            <w:vAlign w:val="top"/>
          </w:tcPr>
          <w:p>
            <w:pPr>
              <w:pStyle w:val="TableText"/>
            </w:pPr>
            <w:r>
              <w:rPr/>
              <w:t xml:space="preserve">Факт готовности вводится по каждой специальности; график агрегирует эти значения</w:t>
            </w:r>
          </w:p>
        </w:tc>
        <w:tc>
          <w:tcPr>
            <w:tcW w:w="4202" w:type="dxa"/>
            <w:vAlign w:val="top"/>
          </w:tcPr>
          <w:p>
            <w:pPr>
              <w:pStyle w:val="TableText"/>
            </w:pPr>
            <w:r>
              <w:rPr/>
              <w:t xml:space="preserve">Детализация по технологическим интервалам допускается отдельно, без обязательного двойного ввода</w:t>
            </w:r>
          </w:p>
        </w:tc>
      </w:tr>
      <w:tr>
        <w:trPr>
          <w:cantSplit/>
        </w:trPr>
        <w:tc>
          <w:tcPr>
            <w:tcW w:w="965" w:type="dxa"/>
            <w:vAlign w:val="top"/>
            <w:shd w:fill="F7FAFC"/>
          </w:tcPr>
          <w:p>
            <w:pPr>
              <w:pStyle w:val="TableText"/>
            </w:pPr>
            <w:r>
              <w:rPr/>
              <w:t xml:space="preserve">D-08</w:t>
            </w:r>
          </w:p>
        </w:tc>
        <w:tc>
          <w:tcPr>
            <w:tcW w:w="4333" w:type="dxa"/>
            <w:vAlign w:val="top"/>
            <w:shd w:fill="F7FAFC"/>
          </w:tcPr>
          <w:p>
            <w:pPr>
              <w:pStyle w:val="TableText"/>
            </w:pPr>
            <w:r>
              <w:rPr/>
              <w:t xml:space="preserve">Для передач фиксируются плановая и фактическая даты, без файлов и процедуры приёмки</w:t>
            </w:r>
          </w:p>
        </w:tc>
        <w:tc>
          <w:tcPr>
            <w:tcW w:w="4202" w:type="dxa"/>
            <w:vAlign w:val="top"/>
            <w:shd w:fill="F7FAFC"/>
          </w:tcPr>
          <w:p>
            <w:pPr>
              <w:pStyle w:val="TableText"/>
            </w:pPr>
            <w:r>
              <w:rPr/>
              <w:t xml:space="preserve">Позволяет контролировать просрочку; подтверждение получателем не требуется</w:t>
            </w:r>
          </w:p>
        </w:tc>
      </w:tr>
      <w:tr>
        <w:trPr>
          <w:cantSplit/>
        </w:trPr>
        <w:tc>
          <w:tcPr>
            <w:tcW w:w="965" w:type="dxa"/>
            <w:vAlign w:val="top"/>
          </w:tcPr>
          <w:p>
            <w:pPr>
              <w:pStyle w:val="TableText"/>
            </w:pPr>
            <w:r>
              <w:rPr/>
              <w:t xml:space="preserve">D-09</w:t>
            </w:r>
          </w:p>
        </w:tc>
        <w:tc>
          <w:tcPr>
            <w:tcW w:w="4333" w:type="dxa"/>
            <w:vAlign w:val="top"/>
          </w:tcPr>
          <w:p>
            <w:pPr>
              <w:pStyle w:val="TableText"/>
            </w:pPr>
            <w:r>
              <w:rPr/>
              <w:t xml:space="preserve">Загрузка в первой версии — число графиков и распределённая по времени плановая стоимость</w:t>
            </w:r>
          </w:p>
        </w:tc>
        <w:tc>
          <w:tcPr>
            <w:tcW w:w="4202" w:type="dxa"/>
            <w:vAlign w:val="top"/>
          </w:tcPr>
          <w:p>
            <w:pPr>
              <w:pStyle w:val="TableText"/>
            </w:pPr>
            <w:r>
              <w:rPr/>
              <w:t xml:space="preserve">Оценка перегрузки в процентах без мощности отделов не рассчитывается</w:t>
            </w:r>
          </w:p>
        </w:tc>
      </w:tr>
      <w:tr>
        <w:trPr>
          <w:cantSplit/>
        </w:trPr>
        <w:tc>
          <w:tcPr>
            <w:tcW w:w="965" w:type="dxa"/>
            <w:vAlign w:val="top"/>
            <w:shd w:fill="F7FAFC"/>
          </w:tcPr>
          <w:p>
            <w:pPr>
              <w:pStyle w:val="TableText"/>
            </w:pPr>
            <w:r>
              <w:rPr/>
              <w:t xml:space="preserve">D-10</w:t>
            </w:r>
          </w:p>
        </w:tc>
        <w:tc>
          <w:tcPr>
            <w:tcW w:w="4333" w:type="dxa"/>
            <w:vAlign w:val="top"/>
            <w:shd w:fill="F7FAFC"/>
          </w:tcPr>
          <w:p>
            <w:pPr>
              <w:pStyle w:val="TableText"/>
            </w:pPr>
            <w:r>
              <w:rPr/>
              <w:t xml:space="preserve">История поддерживает дату состояния и момент знания о нём</w:t>
            </w:r>
          </w:p>
        </w:tc>
        <w:tc>
          <w:tcPr>
            <w:tcW w:w="4202" w:type="dxa"/>
            <w:vAlign w:val="top"/>
            <w:shd w:fill="F7FAFC"/>
          </w:tcPr>
          <w:p>
            <w:pPr>
              <w:pStyle w:val="TableText"/>
            </w:pPr>
            <w:r>
              <w:rPr/>
              <w:t xml:space="preserve">Нужны исправленные исторические данные и воспроизведение сведений прошлой планёрки</w:t>
            </w:r>
          </w:p>
        </w:tc>
      </w:tr>
      <w:tr>
        <w:trPr>
          <w:cantSplit/>
        </w:trPr>
        <w:tc>
          <w:tcPr>
            <w:tcW w:w="965" w:type="dxa"/>
            <w:vAlign w:val="top"/>
          </w:tcPr>
          <w:p>
            <w:pPr>
              <w:pStyle w:val="TableText"/>
            </w:pPr>
            <w:r>
              <w:rPr/>
              <w:t xml:space="preserve">D-11</w:t>
            </w:r>
          </w:p>
        </w:tc>
        <w:tc>
          <w:tcPr>
            <w:tcW w:w="4333" w:type="dxa"/>
            <w:vAlign w:val="top"/>
          </w:tcPr>
          <w:p>
            <w:pPr>
              <w:pStyle w:val="TableText"/>
            </w:pPr>
            <w:r>
              <w:rPr/>
              <w:t xml:space="preserve">Поддерживаются экспорт в Excel и импорт из Excel по опубликованному шаблону</w:t>
            </w:r>
          </w:p>
        </w:tc>
        <w:tc>
          <w:tcPr>
            <w:tcW w:w="4202" w:type="dxa"/>
            <w:vAlign w:val="top"/>
          </w:tcPr>
          <w:p>
            <w:pPr>
              <w:pStyle w:val="TableText"/>
            </w:pPr>
            <w:r>
              <w:rPr/>
              <w:t xml:space="preserve">Закрывает неоднозначность формулировки «импорт в Excel»</w:t>
            </w:r>
          </w:p>
        </w:tc>
      </w:tr>
      <w:tr>
        <w:trPr>
          <w:cantSplit/>
        </w:trPr>
        <w:tc>
          <w:tcPr>
            <w:tcW w:w="965" w:type="dxa"/>
            <w:vAlign w:val="top"/>
            <w:shd w:fill="F7FAFC"/>
          </w:tcPr>
          <w:p>
            <w:pPr>
              <w:pStyle w:val="TableText"/>
            </w:pPr>
            <w:r>
              <w:rPr/>
              <w:t xml:space="preserve">D-12</w:t>
            </w:r>
          </w:p>
        </w:tc>
        <w:tc>
          <w:tcPr>
            <w:tcW w:w="4333" w:type="dxa"/>
            <w:vAlign w:val="top"/>
            <w:shd w:fill="F7FAFC"/>
          </w:tcPr>
          <w:p>
            <w:pPr>
              <w:pStyle w:val="TableText"/>
            </w:pPr>
            <w:r>
              <w:rPr/>
              <w:t xml:space="preserve">Основная денежная единица хранения — сум; точность — до 0,01 сума</w:t>
            </w:r>
          </w:p>
        </w:tc>
        <w:tc>
          <w:tcPr>
            <w:tcW w:w="4202" w:type="dxa"/>
            <w:vAlign w:val="top"/>
            <w:shd w:fill="F7FAFC"/>
          </w:tcPr>
          <w:p>
            <w:pPr>
              <w:pStyle w:val="TableText"/>
            </w:pPr>
            <w:r>
              <w:rPr/>
              <w:t xml:space="preserve">Отображение в тысячах или миллионах сумов возможно только с явным обозначением масштаба</w:t>
            </w:r>
          </w:p>
        </w:tc>
      </w:tr>
      <w:tr>
        <w:trPr>
          <w:cantSplit/>
        </w:trPr>
        <w:tc>
          <w:tcPr>
            <w:tcW w:w="965" w:type="dxa"/>
            <w:vAlign w:val="top"/>
          </w:tcPr>
          <w:p>
            <w:pPr>
              <w:pStyle w:val="TableText"/>
            </w:pPr>
            <w:r>
              <w:rPr/>
              <w:t xml:space="preserve">D-13</w:t>
            </w:r>
          </w:p>
        </w:tc>
        <w:tc>
          <w:tcPr>
            <w:tcW w:w="4333" w:type="dxa"/>
            <w:vAlign w:val="top"/>
          </w:tcPr>
          <w:p>
            <w:pPr>
              <w:pStyle w:val="TableText"/>
            </w:pPr>
            <w:r>
              <w:rPr/>
              <w:t xml:space="preserve">«Объём работ» нового отчёта трактуется как плановая стоимость, если единица — UZS</w:t>
            </w:r>
          </w:p>
        </w:tc>
        <w:tc>
          <w:tcPr>
            <w:tcW w:w="4202" w:type="dxa"/>
            <w:vAlign w:val="top"/>
          </w:tcPr>
          <w:p>
            <w:pPr>
              <w:pStyle w:val="TableText"/>
            </w:pPr>
            <w:r>
              <w:rPr/>
              <w:t xml:space="preserve">Натуральный объём хранится в отдельных необязательных полях. Исторический образец автоматически не переинтерпретируется</w:t>
            </w:r>
          </w:p>
        </w:tc>
      </w:tr>
      <w:tr>
        <w:trPr>
          <w:cantSplit/>
        </w:trPr>
        <w:tc>
          <w:tcPr>
            <w:tcW w:w="965" w:type="dxa"/>
            <w:vAlign w:val="top"/>
            <w:shd w:fill="F7FAFC"/>
          </w:tcPr>
          <w:p>
            <w:pPr>
              <w:pStyle w:val="TableText"/>
            </w:pPr>
            <w:r>
              <w:rPr/>
              <w:t xml:space="preserve">D-14</w:t>
            </w:r>
          </w:p>
        </w:tc>
        <w:tc>
          <w:tcPr>
            <w:tcW w:w="4333" w:type="dxa"/>
            <w:vAlign w:val="top"/>
            <w:shd w:fill="F7FAFC"/>
          </w:tcPr>
          <w:p>
            <w:pPr>
              <w:pStyle w:val="TableText"/>
            </w:pPr>
            <w:r>
              <w:rPr/>
              <w:t xml:space="preserve">Один лист А4 — целевой режим для типового графика; сложный график выводится с читаемыми продолжениями</w:t>
            </w:r>
          </w:p>
        </w:tc>
        <w:tc>
          <w:tcPr>
            <w:tcW w:w="4202" w:type="dxa"/>
            <w:vAlign w:val="top"/>
            <w:shd w:fill="F7FAFC"/>
          </w:tcPr>
          <w:p>
            <w:pPr>
              <w:pStyle w:val="TableText"/>
            </w:pPr>
            <w:r>
              <w:rPr/>
              <w:t xml:space="preserve">Нельзя скрывать данные или уменьшать текст до нечитаемого размера</w:t>
            </w:r>
          </w:p>
        </w:tc>
      </w:tr>
      <w:tr>
        <w:trPr>
          <w:cantSplit/>
        </w:trPr>
        <w:tc>
          <w:tcPr>
            <w:tcW w:w="965" w:type="dxa"/>
            <w:vAlign w:val="top"/>
          </w:tcPr>
          <w:p>
            <w:pPr>
              <w:pStyle w:val="TableText"/>
            </w:pPr>
            <w:r>
              <w:rPr/>
              <w:t xml:space="preserve">D-15</w:t>
            </w:r>
          </w:p>
        </w:tc>
        <w:tc>
          <w:tcPr>
            <w:tcW w:w="4333" w:type="dxa"/>
            <w:vAlign w:val="top"/>
          </w:tcPr>
          <w:p>
            <w:pPr>
              <w:pStyle w:val="TableText"/>
            </w:pPr>
            <w:r>
              <w:rPr/>
              <w:t xml:space="preserve">Пилотные ориентиры: 100 000 графиков всего, 10 000 действующих, 100 одновременных пользователей</w:t>
            </w:r>
          </w:p>
        </w:tc>
        <w:tc>
          <w:tcPr>
            <w:tcW w:w="4202" w:type="dxa"/>
            <w:vAlign w:val="top"/>
          </w:tcPr>
          <w:p>
            <w:pPr>
              <w:pStyle w:val="TableText"/>
            </w:pPr>
            <w:r>
              <w:rPr/>
              <w:t xml:space="preserve">Это проектная нагрузка, а не сведения, полученные от заказчика</w:t>
            </w:r>
          </w:p>
        </w:tc>
      </w:tr>
      <w:tr>
        <w:trPr>
          <w:cantSplit/>
        </w:trPr>
        <w:tc>
          <w:tcPr>
            <w:tcW w:w="965" w:type="dxa"/>
            <w:vAlign w:val="top"/>
            <w:shd w:fill="F7FAFC"/>
          </w:tcPr>
          <w:p>
            <w:pPr>
              <w:pStyle w:val="TableText"/>
            </w:pPr>
            <w:r>
              <w:rPr/>
              <w:t xml:space="preserve">D-16</w:t>
            </w:r>
          </w:p>
        </w:tc>
        <w:tc>
          <w:tcPr>
            <w:tcW w:w="4333" w:type="dxa"/>
            <w:vAlign w:val="top"/>
            <w:shd w:fill="F7FAFC"/>
          </w:tcPr>
          <w:p>
            <w:pPr>
              <w:pStyle w:val="TableText"/>
            </w:pPr>
            <w:r>
              <w:rPr/>
              <w:t xml:space="preserve">Внутренняя система одной организации, доступ по учётным записям через HTTPS</w:t>
            </w:r>
          </w:p>
        </w:tc>
        <w:tc>
          <w:tcPr>
            <w:tcW w:w="4202" w:type="dxa"/>
            <w:vAlign w:val="top"/>
            <w:shd w:fill="F7FAFC"/>
          </w:tcPr>
          <w:p>
            <w:pPr>
              <w:pStyle w:val="TableText"/>
            </w:pPr>
            <w:r>
              <w:rPr/>
              <w:t xml:space="preserve">Конкретное место размещения выбирается перед внедрением; публичной регистрации нет</w:t>
            </w:r>
          </w:p>
        </w:tc>
      </w:tr>
    </w:tbl>
    <w:p>
      <w:pPr>
        <w:pStyle w:val="TableAfter"/>
      </w:pPr>
    </w:p>
    <w:p>
      <w:pPr>
        <w:pStyle w:val="Heading1"/>
      </w:pPr>
      <w:bookmarkStart w:id="3" w:name="section_3"/>
      <w:r>
        <w:rPr/>
        <w:t xml:space="preserve">3. Границы первой версии</w:t>
      </w:r>
      <w:bookmarkEnd w:id="3"/>
    </w:p>
    <w:p>
      <w:pPr>
        <w:pStyle w:val="Heading2"/>
      </w:pPr>
      <w:r>
        <w:rPr/>
        <w:t xml:space="preserve">3.1. Обязательный объём, P0</w:t>
      </w:r>
    </w:p>
    <w:p>
      <w:pPr>
        <w:pStyle w:val="Normal"/>
      </w:pPr>
      <w:r>
        <w:rPr/>
        <w:t xml:space="preserve">Учёт объектов, стадий, этапов и графиков; справочники; версии сетевых моделей; редактор работ, событий и зависимостей в таблицах; привязка моделей к графику; ручные даты; Гант; расчёт критического пути; утверждение и продление; фактическое выполнение; история; стоимость; портфельные отчёты; загрузка; Excel-импорт и экспорт; печать А4; права доступа; внутренние уведомления; журнал действий; рабочий календарь.</w:t>
      </w:r>
    </w:p>
    <w:p>
      <w:pPr>
        <w:pStyle w:val="Normal"/>
      </w:pPr>
      <w:r>
        <w:rPr/>
        <w:t xml:space="preserve">P0 означает обязательность для приёмки первой производственной версии. Порядок разработки внутри P0 приведён в разделе 17.</w:t>
      </w:r>
    </w:p>
    <w:p>
      <w:pPr>
        <w:pStyle w:val="Heading2"/>
      </w:pPr>
      <w:r>
        <w:rPr/>
        <w:t xml:space="preserve">3.2. Следующий этап, P1</w:t>
      </w:r>
    </w:p>
    <w:p>
      <w:pPr>
        <w:pStyle w:val="Normal"/>
      </w:pPr>
      <w:r>
        <w:rPr/>
        <w:t xml:space="preserve">Редактирование сетевой схемы перетаскиванием, человеко-часы и мощность отделов, расчёт перегрузки, пользовательские наборы колонок отчёта с сохранением, дополнительные языки, дополнительные интеграции и отдельный прямой экспорт PDF. Сохранение фильтров и готовые отчёты входят в P0; произвольный конструктор формул — нет.</w:t>
      </w:r>
    </w:p>
    <w:p>
      <w:pPr>
        <w:pStyle w:val="Heading2"/>
      </w:pPr>
      <w:r>
        <w:rPr/>
        <w:t xml:space="preserve">3.3. За пределами версии 1.0</w:t>
      </w:r>
    </w:p>
    <w:p>
      <w:pPr>
        <w:pStyle w:val="Normal"/>
      </w:pPr>
      <w:r>
        <w:rPr/>
        <w:t xml:space="preserve">Бухгалтерский учёт, платежи и акты, расчёт НДС, зарплата, управление проектной документацией и файлами выдаваемых заданий, электронная подпись юридической значимости, закупки, BIM/CAD, автоматическое ресурсное выравнивание, автоматическая рассылка во внешние мессенджеры, полноценное мобильное приложение, многокомпанейская SaaS-платформа.</w:t>
      </w:r>
    </w:p>
    <w:p>
      <w:pPr>
        <w:pStyle w:val="Heading1"/>
      </w:pPr>
      <w:bookmarkStart w:id="4" w:name="section_4"/>
      <w:r>
        <w:rPr/>
        <w:t xml:space="preserve">4. Роли, ответственность и доступ</w:t>
      </w:r>
      <w:bookmarkEnd w:id="4"/>
    </w:p>
    <w:tbl>
      <w:tblPr>
        <w:tblW w:w="9500" w:type="dxa"/>
        <w:tblLayout w:type="fixed"/>
        <w:tblBorders>
          <w:top w:val="single" w:sz="4" w:color="CBD6DF"/>
          <w:left w:val="single" w:sz="4" w:color="CBD6DF"/>
          <w:bottom w:val="single" w:sz="4" w:color="CBD6DF"/>
          <w:right w:val="single" w:sz="4" w:color="CBD6DF"/>
          <w:insideH w:val="single" w:sz="4" w:color="CBD6DF"/>
          <w:insideV w:val="single" w:sz="4" w:color="CBD6DF"/>
        </w:tblBorders>
        <w:tblCellMar>
          <w:top w:w="70" w:type="dxa"/>
          <w:bottom w:w="70" w:type="dxa"/>
          <w:left w:w="85" w:type="dxa"/>
          <w:right w:w="85" w:type="dxa"/>
        </w:tblCellMar>
      </w:tblPr>
      <w:tblGrid>
        <w:gridCol w:w="2239"/>
        <w:gridCol w:w="2666"/>
        <w:gridCol w:w="4595"/>
      </w:tblGrid>
      <w:tr>
        <w:trPr>
          <w:cantSplit/>
          <w:tblHeader/>
        </w:trPr>
        <w:tc>
          <w:tcPr>
            <w:tcW w:w="2239" w:type="dxa"/>
            <w:vAlign w:val="top"/>
            <w:shd w:fill="E7F0F5"/>
          </w:tcPr>
          <w:p>
            <w:pPr>
              <w:pStyle w:val="TableHeader"/>
            </w:pPr>
            <w:r>
              <w:rPr/>
              <w:t xml:space="preserve">Роль</w:t>
            </w:r>
          </w:p>
        </w:tc>
        <w:tc>
          <w:tcPr>
            <w:tcW w:w="2666" w:type="dxa"/>
            <w:vAlign w:val="top"/>
            <w:shd w:fill="E7F0F5"/>
          </w:tcPr>
          <w:p>
            <w:pPr>
              <w:pStyle w:val="TableHeader"/>
            </w:pPr>
            <w:r>
              <w:rPr/>
              <w:t xml:space="preserve">Зона видимости</w:t>
            </w:r>
          </w:p>
        </w:tc>
        <w:tc>
          <w:tcPr>
            <w:tcW w:w="4595" w:type="dxa"/>
            <w:vAlign w:val="top"/>
            <w:shd w:fill="E7F0F5"/>
          </w:tcPr>
          <w:p>
            <w:pPr>
              <w:pStyle w:val="TableHeader"/>
            </w:pPr>
            <w:r>
              <w:rPr/>
              <w:t xml:space="preserve">Действия</w:t>
            </w:r>
          </w:p>
        </w:tc>
      </w:tr>
      <w:tr>
        <w:trPr>
          <w:cantSplit/>
        </w:trPr>
        <w:tc>
          <w:tcPr>
            <w:tcW w:w="2239" w:type="dxa"/>
            <w:vAlign w:val="top"/>
          </w:tcPr>
          <w:p>
            <w:pPr>
              <w:pStyle w:val="TableText"/>
            </w:pPr>
            <w:r>
              <w:rPr/>
              <w:t xml:space="preserve">ГИП</w:t>
            </w:r>
          </w:p>
        </w:tc>
        <w:tc>
          <w:tcPr>
            <w:tcW w:w="2666" w:type="dxa"/>
            <w:vAlign w:val="top"/>
          </w:tcPr>
          <w:p>
            <w:pPr>
              <w:pStyle w:val="TableText"/>
            </w:pPr>
            <w:r>
              <w:rPr/>
              <w:t xml:space="preserve">Назначенные объекты и графики</w:t>
            </w:r>
          </w:p>
        </w:tc>
        <w:tc>
          <w:tcPr>
            <w:tcW w:w="4595" w:type="dxa"/>
            <w:vAlign w:val="top"/>
          </w:tcPr>
          <w:p>
            <w:pPr>
              <w:pStyle w:val="TableText"/>
            </w:pPr>
            <w:r>
              <w:rPr/>
              <w:t xml:space="preserve">Создание и редактирование проекта графика, назначение авторов, суммы, даты, модели, отправка на утверждение, предложение продления</w:t>
            </w:r>
          </w:p>
        </w:tc>
      </w:tr>
      <w:tr>
        <w:trPr>
          <w:cantSplit/>
        </w:trPr>
        <w:tc>
          <w:tcPr>
            <w:tcW w:w="2239" w:type="dxa"/>
            <w:vAlign w:val="top"/>
            <w:shd w:fill="F7FAFC"/>
          </w:tcPr>
          <w:p>
            <w:pPr>
              <w:pStyle w:val="TableText"/>
            </w:pPr>
            <w:r>
              <w:rPr/>
              <w:t xml:space="preserve">Начальник производственного отдела</w:t>
            </w:r>
          </w:p>
        </w:tc>
        <w:tc>
          <w:tcPr>
            <w:tcW w:w="2666" w:type="dxa"/>
            <w:vAlign w:val="top"/>
            <w:shd w:fill="F7FAFC"/>
          </w:tcPr>
          <w:p>
            <w:pPr>
              <w:pStyle w:val="TableText"/>
            </w:pPr>
            <w:r>
              <w:rPr/>
              <w:t xml:space="preserve">Графики с участием его отдела; полная технологическая цепочка таких графиков</w:t>
            </w:r>
          </w:p>
        </w:tc>
        <w:tc>
          <w:tcPr>
            <w:tcW w:w="4595" w:type="dxa"/>
            <w:vAlign w:val="top"/>
            <w:shd w:fill="F7FAFC"/>
          </w:tcPr>
          <w:p>
            <w:pPr>
              <w:pStyle w:val="TableText"/>
            </w:pPr>
            <w:r>
              <w:rPr/>
              <w:t xml:space="preserve">Просмотр работ своего отдела и зависимостей, отчёты по отделу, комментарии и предложение изменений; прямое изменение официального факта не разрешено</w:t>
            </w:r>
          </w:p>
        </w:tc>
      </w:tr>
      <w:tr>
        <w:trPr>
          <w:cantSplit/>
        </w:trPr>
        <w:tc>
          <w:tcPr>
            <w:tcW w:w="2239" w:type="dxa"/>
            <w:vAlign w:val="top"/>
          </w:tcPr>
          <w:p>
            <w:pPr>
              <w:pStyle w:val="TableText"/>
            </w:pPr>
            <w:r>
              <w:rPr/>
              <w:t xml:space="preserve">Сотрудник службы координирования производства</w:t>
            </w:r>
          </w:p>
        </w:tc>
        <w:tc>
          <w:tcPr>
            <w:tcW w:w="2666" w:type="dxa"/>
            <w:vAlign w:val="top"/>
          </w:tcPr>
          <w:p>
            <w:pPr>
              <w:pStyle w:val="TableText"/>
            </w:pPr>
            <w:r>
              <w:rPr/>
              <w:t xml:space="preserve">Все производственные объекты и графики</w:t>
            </w:r>
          </w:p>
        </w:tc>
        <w:tc>
          <w:tcPr>
            <w:tcW w:w="4595" w:type="dxa"/>
            <w:vAlign w:val="top"/>
          </w:tcPr>
          <w:p>
            <w:pPr>
              <w:pStyle w:val="TableText"/>
            </w:pPr>
            <w:r>
              <w:rPr/>
              <w:t xml:space="preserve">Ввод и исправление факта, причины задержек, контроль актуальности, отчёты и выгрузки, подготовка предложения о продлении</w:t>
            </w:r>
          </w:p>
        </w:tc>
      </w:tr>
      <w:tr>
        <w:trPr>
          <w:cantSplit/>
        </w:trPr>
        <w:tc>
          <w:tcPr>
            <w:tcW w:w="2239" w:type="dxa"/>
            <w:vAlign w:val="top"/>
            <w:shd w:fill="F7FAFC"/>
          </w:tcPr>
          <w:p>
            <w:pPr>
              <w:pStyle w:val="TableText"/>
            </w:pPr>
            <w:r>
              <w:rPr/>
              <w:t xml:space="preserve">Руководитель службы координирования / методолог</w:t>
            </w:r>
          </w:p>
        </w:tc>
        <w:tc>
          <w:tcPr>
            <w:tcW w:w="2666" w:type="dxa"/>
            <w:vAlign w:val="top"/>
            <w:shd w:fill="F7FAFC"/>
          </w:tcPr>
          <w:p>
            <w:pPr>
              <w:pStyle w:val="TableText"/>
            </w:pPr>
            <w:r>
              <w:rPr/>
              <w:t xml:space="preserve">Все графики и справочники</w:t>
            </w:r>
          </w:p>
        </w:tc>
        <w:tc>
          <w:tcPr>
            <w:tcW w:w="4595" w:type="dxa"/>
            <w:vAlign w:val="top"/>
            <w:shd w:fill="F7FAFC"/>
          </w:tcPr>
          <w:p>
            <w:pPr>
              <w:pStyle w:val="TableText"/>
            </w:pPr>
            <w:r>
              <w:rPr/>
              <w:t xml:space="preserve">Публикация моделей и календаря, организация контроля, назначение ответственных за справочники; не утверждает графики вместо директоров</w:t>
            </w:r>
          </w:p>
        </w:tc>
      </w:tr>
      <w:tr>
        <w:trPr>
          <w:cantSplit/>
        </w:trPr>
        <w:tc>
          <w:tcPr>
            <w:tcW w:w="2239" w:type="dxa"/>
            <w:vAlign w:val="top"/>
          </w:tcPr>
          <w:p>
            <w:pPr>
              <w:pStyle w:val="TableText"/>
            </w:pPr>
            <w:r>
              <w:rPr/>
              <w:t xml:space="preserve">Директор по финансам</w:t>
            </w:r>
          </w:p>
        </w:tc>
        <w:tc>
          <w:tcPr>
            <w:tcW w:w="2666" w:type="dxa"/>
            <w:vAlign w:val="top"/>
          </w:tcPr>
          <w:p>
            <w:pPr>
              <w:pStyle w:val="TableText"/>
            </w:pPr>
            <w:r>
              <w:rPr/>
              <w:t xml:space="preserve">Весь портфель, включая суммы</w:t>
            </w:r>
          </w:p>
        </w:tc>
        <w:tc>
          <w:tcPr>
            <w:tcW w:w="4595" w:type="dxa"/>
            <w:vAlign w:val="top"/>
          </w:tcPr>
          <w:p>
            <w:pPr>
              <w:pStyle w:val="TableText"/>
            </w:pPr>
            <w:r>
              <w:rPr/>
              <w:t xml:space="preserve">Утверждение назначенных ему версий, возврат на доработку, отчёты</w:t>
            </w:r>
          </w:p>
        </w:tc>
      </w:tr>
      <w:tr>
        <w:trPr>
          <w:cantSplit/>
        </w:trPr>
        <w:tc>
          <w:tcPr>
            <w:tcW w:w="2239" w:type="dxa"/>
            <w:vAlign w:val="top"/>
            <w:shd w:fill="F7FAFC"/>
          </w:tcPr>
          <w:p>
            <w:pPr>
              <w:pStyle w:val="TableText"/>
            </w:pPr>
            <w:r>
              <w:rPr/>
              <w:t xml:space="preserve">Технический директор</w:t>
            </w:r>
          </w:p>
        </w:tc>
        <w:tc>
          <w:tcPr>
            <w:tcW w:w="2666" w:type="dxa"/>
            <w:vAlign w:val="top"/>
            <w:shd w:fill="F7FAFC"/>
          </w:tcPr>
          <w:p>
            <w:pPr>
              <w:pStyle w:val="TableText"/>
            </w:pPr>
            <w:r>
              <w:rPr/>
              <w:t xml:space="preserve">Весь портфель, включая суммы</w:t>
            </w:r>
          </w:p>
        </w:tc>
        <w:tc>
          <w:tcPr>
            <w:tcW w:w="4595" w:type="dxa"/>
            <w:vAlign w:val="top"/>
            <w:shd w:fill="F7FAFC"/>
          </w:tcPr>
          <w:p>
            <w:pPr>
              <w:pStyle w:val="TableText"/>
            </w:pPr>
            <w:r>
              <w:rPr/>
              <w:t xml:space="preserve">Утверждение назначенных ему версий, возврат на доработку, проверка технологических моделей, отчёты</w:t>
            </w:r>
          </w:p>
        </w:tc>
      </w:tr>
      <w:tr>
        <w:trPr>
          <w:cantSplit/>
        </w:trPr>
        <w:tc>
          <w:tcPr>
            <w:tcW w:w="2239" w:type="dxa"/>
            <w:vAlign w:val="top"/>
          </w:tcPr>
          <w:p>
            <w:pPr>
              <w:pStyle w:val="TableText"/>
            </w:pPr>
            <w:r>
              <w:rPr/>
              <w:t xml:space="preserve">Генеральный директор</w:t>
            </w:r>
          </w:p>
        </w:tc>
        <w:tc>
          <w:tcPr>
            <w:tcW w:w="2666" w:type="dxa"/>
            <w:vAlign w:val="top"/>
          </w:tcPr>
          <w:p>
            <w:pPr>
              <w:pStyle w:val="TableText"/>
            </w:pPr>
            <w:r>
              <w:rPr/>
              <w:t xml:space="preserve">Весь портфель</w:t>
            </w:r>
          </w:p>
        </w:tc>
        <w:tc>
          <w:tcPr>
            <w:tcW w:w="4595" w:type="dxa"/>
            <w:vAlign w:val="top"/>
          </w:tcPr>
          <w:p>
            <w:pPr>
              <w:pStyle w:val="TableText"/>
            </w:pPr>
            <w:r>
              <w:rPr/>
              <w:t xml:space="preserve">Просмотр, отчёты, комментарии; право утверждения автоматически не добавляется</w:t>
            </w:r>
          </w:p>
        </w:tc>
      </w:tr>
      <w:tr>
        <w:trPr>
          <w:cantSplit/>
        </w:trPr>
        <w:tc>
          <w:tcPr>
            <w:tcW w:w="2239" w:type="dxa"/>
            <w:vAlign w:val="top"/>
            <w:shd w:fill="F7FAFC"/>
          </w:tcPr>
          <w:p>
            <w:pPr>
              <w:pStyle w:val="TableText"/>
            </w:pPr>
            <w:r>
              <w:rPr/>
              <w:t xml:space="preserve">Администратор</w:t>
            </w:r>
          </w:p>
        </w:tc>
        <w:tc>
          <w:tcPr>
            <w:tcW w:w="2666" w:type="dxa"/>
            <w:vAlign w:val="top"/>
            <w:shd w:fill="F7FAFC"/>
          </w:tcPr>
          <w:p>
            <w:pPr>
              <w:pStyle w:val="TableText"/>
            </w:pPr>
            <w:r>
              <w:rPr/>
              <w:t xml:space="preserve">Пользователи, роли, технические настройки</w:t>
            </w:r>
          </w:p>
        </w:tc>
        <w:tc>
          <w:tcPr>
            <w:tcW w:w="4595" w:type="dxa"/>
            <w:vAlign w:val="top"/>
            <w:shd w:fill="F7FAFC"/>
          </w:tcPr>
          <w:p>
            <w:pPr>
              <w:pStyle w:val="TableText"/>
            </w:pPr>
            <w:r>
              <w:rPr/>
              <w:t xml:space="preserve">Управление доступом; производственные данные видны только при дополнительной бизнес-роли</w:t>
            </w:r>
          </w:p>
        </w:tc>
      </w:tr>
    </w:tbl>
    <w:p>
      <w:pPr>
        <w:pStyle w:val="TableAfter"/>
      </w:pPr>
    </w:p>
    <w:p>
      <w:pPr>
        <w:pStyle w:val="Normal"/>
      </w:pPr>
      <w:r>
        <w:rPr/>
        <w:t xml:space="preserve">Автор раздела — ссылка на сотрудника, учётная запись для него необязательна. ГИП и начальник отдела также выбираются из справочника сотрудников. Сотрудник может совмещать роли; ограничения проверяются на сервере. Автор версии не вправе утвердить собственную версию даже при совмещении ролей.</w:t>
      </w:r>
    </w:p>
    <w:p>
      <w:pPr>
        <w:pStyle w:val="Normal"/>
      </w:pPr>
      <w:r>
        <w:rPr>
          <w:b/>
        </w:rPr>
        <w:t xml:space="preserve">FR-ACL-01.</w:t>
      </w:r>
      <w:r>
        <w:rPr/>
        <w:t xml:space="preserve"> Ограничения видимости действуют для интерфейса, API, поиска, отчётов, импорта и экспорта. Недоступные объекты не раскрываются через агрегаты.</w:t>
      </w:r>
    </w:p>
    <w:p>
      <w:pPr>
        <w:pStyle w:val="Normal"/>
      </w:pPr>
      <w:r>
        <w:rPr>
          <w:b/>
        </w:rPr>
        <w:t xml:space="preserve">FR-ACL-02.</w:t>
      </w:r>
      <w:r>
        <w:rPr/>
        <w:t xml:space="preserve"> Начальник отдела видит суммы своих специальностей и общую сумму доступного ему графика; детализация сумм других отделов скрыта. ГИП, координация и директора видят полную стоимость в своей области доступа.</w:t>
      </w:r>
    </w:p>
    <w:p>
      <w:pPr>
        <w:pStyle w:val="Normal"/>
      </w:pPr>
      <w:r>
        <w:rPr>
          <w:b/>
        </w:rPr>
        <w:t xml:space="preserve">FR-ACL-03.</w:t>
      </w:r>
      <w:r>
        <w:rPr/>
        <w:t xml:space="preserve"> Замещение ГИПа, начальника или директора оформляется назначением с периодом действия и журналированием. В историческом документе сохраняются лица, действовавшие в соответствующей версии.</w:t>
      </w:r>
    </w:p>
    <w:p>
      <w:pPr>
        <w:pStyle w:val="Heading1"/>
      </w:pPr>
      <w:bookmarkStart w:id="5" w:name="section_5"/>
      <w:r>
        <w:rPr/>
        <w:t xml:space="preserve">5. Жизненный цикл и согласование</w:t>
      </w:r>
      <w:bookmarkEnd w:id="5"/>
    </w:p>
    <w:p>
      <w:pPr>
        <w:pStyle w:val="Heading2"/>
      </w:pPr>
      <w:r>
        <w:rPr/>
        <w:t xml:space="preserve">5.1. Две независимые группы статусов</w:t>
      </w:r>
    </w:p>
    <w:p>
      <w:pPr>
        <w:pStyle w:val="Normal"/>
      </w:pPr>
      <w:r>
        <w:rPr/>
        <w:t xml:space="preserve">Версия плана: «Черновик» → «На утверждении» → «Утверждён» либо «Возвращён на доработку». Возвращённая версия редактируется и отправляется снова; отправка создаёт неизменяемый снимок рассмотрения. Утверждённая версия неизменяема.</w:t>
      </w:r>
    </w:p>
    <w:p>
      <w:pPr>
        <w:pStyle w:val="Normal"/>
      </w:pPr>
      <w:r>
        <w:rPr/>
        <w:t xml:space="preserve">График как производственная единица: «Не начат», «В работе», «Завершён», «Приостановлен», «Отменён», «Архивный». Просрочка, риск и неактуальность данных — отдельные признаки, а не замена статуса. Завершённый график может иметь признак «Завершён с опозданием».</w:t>
      </w:r>
    </w:p>
    <w:p>
      <w:pPr>
        <w:pStyle w:val="Heading2"/>
      </w:pPr>
      <w:r>
        <w:rPr/>
        <w:t xml:space="preserve">5.2. Основной сценарий</w:t>
      </w:r>
    </w:p>
    <w:p>
      <w:pPr>
        <w:pStyle w:val="ListParagraph"/>
      </w:pPr>
      <w:r>
        <w:rPr/>
        <w:t xml:space="preserve">1. </w:t>
      </w:r>
      <w:r>
        <w:rPr/>
        <w:t xml:space="preserve">ГИП выбирает или создаёт объект, стадию и этап; вводит наименование вида работ.</w:t>
      </w:r>
    </w:p>
    <w:p>
      <w:pPr>
        <w:pStyle w:val="ListParagraph"/>
      </w:pPr>
      <w:r>
        <w:rPr/>
        <w:t xml:space="preserve">2. </w:t>
      </w:r>
      <w:r>
        <w:rPr/>
        <w:t xml:space="preserve">Выбирает опубликованные версии моделей и применимые специальности; указывает причину исключений.</w:t>
      </w:r>
    </w:p>
    <w:p>
      <w:pPr>
        <w:pStyle w:val="ListParagraph"/>
      </w:pPr>
      <w:r>
        <w:rPr/>
        <w:t xml:space="preserve">3. </w:t>
      </w:r>
      <w:r>
        <w:rPr/>
        <w:t xml:space="preserve">Назначает отделы, начальников, авторов; задаёт даты графика, интервалов и событий.</w:t>
      </w:r>
    </w:p>
    <w:p>
      <w:pPr>
        <w:pStyle w:val="ListParagraph"/>
      </w:pPr>
      <w:r>
        <w:rPr/>
        <w:t xml:space="preserve">4. </w:t>
      </w:r>
      <w:r>
        <w:rPr/>
        <w:t xml:space="preserve">Вводит общую стоимость и распределение по специальностям.</w:t>
      </w:r>
    </w:p>
    <w:p>
      <w:pPr>
        <w:pStyle w:val="ListParagraph"/>
      </w:pPr>
      <w:r>
        <w:rPr/>
        <w:t xml:space="preserve">5. </w:t>
      </w:r>
      <w:r>
        <w:rPr/>
        <w:t xml:space="preserve">Система проверяет полноту, календарь, зависимости и сумму; показывает критический путь.</w:t>
      </w:r>
    </w:p>
    <w:p>
      <w:pPr>
        <w:pStyle w:val="ListParagraph"/>
      </w:pPr>
      <w:r>
        <w:rPr/>
        <w:t xml:space="preserve">6. </w:t>
      </w:r>
      <w:r>
        <w:rPr/>
        <w:t xml:space="preserve">ГИП выбирает финансового либо технического директора и отправляет график на утверждение.</w:t>
      </w:r>
    </w:p>
    <w:p>
      <w:pPr>
        <w:pStyle w:val="ListParagraph"/>
      </w:pPr>
      <w:r>
        <w:rPr/>
        <w:t xml:space="preserve">7. </w:t>
      </w:r>
      <w:r>
        <w:rPr/>
        <w:t xml:space="preserve">Директор рассматривает график, замечания и исключения. Утверждает или возвращает с обязательным комментарием.</w:t>
      </w:r>
    </w:p>
    <w:p>
      <w:pPr>
        <w:pStyle w:val="ListParagraph"/>
      </w:pPr>
      <w:r>
        <w:rPr/>
        <w:t xml:space="preserve">8. </w:t>
      </w:r>
      <w:r>
        <w:rPr/>
        <w:t xml:space="preserve">При первом утверждении создаются первоначальная базовая версия и действующий план.</w:t>
      </w:r>
    </w:p>
    <w:p>
      <w:pPr>
        <w:pStyle w:val="ListParagraph"/>
      </w:pPr>
      <w:r>
        <w:rPr/>
        <w:t xml:space="preserve">9. </w:t>
      </w:r>
      <w:r>
        <w:rPr/>
        <w:t xml:space="preserve">Координация вносит факт; система обновляет состояние и отчёты.</w:t>
      </w:r>
    </w:p>
    <w:p>
      <w:pPr>
        <w:pStyle w:val="ListParagraph"/>
      </w:pPr>
      <w:r>
        <w:rPr/>
        <w:t xml:space="preserve">10. </w:t>
      </w:r>
      <w:r>
        <w:rPr/>
        <w:t xml:space="preserve">После выполнения всех обязательных работ и передач график закрывается координацией. Архивирование выполняется отдельно и не удаляет историю.</w:t>
      </w:r>
    </w:p>
    <w:p>
      <w:pPr>
        <w:pStyle w:val="Heading2"/>
      </w:pPr>
      <w:r>
        <w:rPr/>
        <w:t xml:space="preserve">5.3. Продление и изменение утверждённого графика</w:t>
      </w:r>
    </w:p>
    <w:p>
      <w:pPr>
        <w:pStyle w:val="Normal"/>
      </w:pPr>
      <w:r>
        <w:rPr>
          <w:b/>
        </w:rPr>
        <w:t xml:space="preserve">FR-WF-01.</w:t>
      </w:r>
      <w:r>
        <w:rPr/>
        <w:t xml:space="preserve"> Изменение дат, состава специальностей, стоимости, технологических связей, авторов или ответственных создаёт новую редакцию на базе действующего плана. Непроизводственные комментарии не требуют утверждения.</w:t>
      </w:r>
    </w:p>
    <w:p>
      <w:pPr>
        <w:pStyle w:val="Normal"/>
      </w:pPr>
      <w:r>
        <w:rPr>
          <w:b/>
        </w:rPr>
        <w:t xml:space="preserve">FR-WF-02.</w:t>
      </w:r>
      <w:r>
        <w:rPr/>
        <w:t xml:space="preserve"> Заявка содержит причину, инициатора, старые и новые значения, затронутые события и отклонение в рабочих днях. Основание — обязательный текст; номер письма или решения — необязательное поле.</w:t>
      </w:r>
    </w:p>
    <w:p>
      <w:pPr>
        <w:pStyle w:val="Normal"/>
      </w:pPr>
      <w:r>
        <w:rPr>
          <w:b/>
        </w:rPr>
        <w:t xml:space="preserve">FR-WF-03.</w:t>
      </w:r>
      <w:r>
        <w:rPr/>
        <w:t xml:space="preserve"> До утверждения новой редакции все официальные отчёты используют прежний план. Предлагаемые изменения доступны отдельным слоем и явно подписаны.</w:t>
      </w:r>
    </w:p>
    <w:p>
      <w:pPr>
        <w:pStyle w:val="Normal"/>
      </w:pPr>
      <w:r>
        <w:rPr>
          <w:b/>
        </w:rPr>
        <w:t xml:space="preserve">FR-WF-04.</w:t>
      </w:r>
      <w:r>
        <w:rPr/>
        <w:t xml:space="preserve"> После утверждения новая версия становится действующей с момента утверждения; задним числом утверждение не подменяется. Первоначальный базовый план остаётся доступен для сравнения.</w:t>
      </w:r>
    </w:p>
    <w:p>
      <w:pPr>
        <w:pStyle w:val="Normal"/>
      </w:pPr>
      <w:r>
        <w:rPr>
          <w:b/>
        </w:rPr>
        <w:t xml:space="preserve">FR-WF-05.</w:t>
      </w:r>
      <w:r>
        <w:rPr/>
        <w:t xml:space="preserve"> Продление одного графика не меняет другие графики автоматически. Система перечисляет затронутые внешние связи и предлагает ответственным подготовить изменения.</w:t>
      </w:r>
    </w:p>
    <w:p>
      <w:pPr>
        <w:pStyle w:val="Normal"/>
      </w:pPr>
      <w:r>
        <w:rPr>
          <w:b/>
        </w:rPr>
        <w:t xml:space="preserve">FR-WF-06.</w:t>
      </w:r>
      <w:r>
        <w:rPr/>
        <w:t xml:space="preserve"> Приостановка и отмена требуют причины и утверждения одним из двух директоров. Приостановка сама по себе не останавливает календарь и не переносит сроки. Возобновление фиксируется отдельным действием.</w:t>
      </w:r>
    </w:p>
    <w:p>
      <w:pPr>
        <w:pStyle w:val="Normal"/>
      </w:pPr>
      <w:r>
        <w:rPr>
          <w:b/>
        </w:rPr>
        <w:t xml:space="preserve">FR-WF-07.</w:t>
      </w:r>
      <w:r>
        <w:rPr/>
        <w:t xml:space="preserve"> Одновременное утверждение одной версии двумя директорами невозможно: первая транзакция фиксирует результат, второй пользователь получает актуальный статус. На график допускается одна активная заявка изменения.</w:t>
      </w:r>
    </w:p>
    <w:p>
      <w:pPr>
        <w:pStyle w:val="Heading1"/>
      </w:pPr>
      <w:bookmarkStart w:id="6" w:name="section_6"/>
      <w:r>
        <w:rPr/>
        <w:t xml:space="preserve">6. Предметная модель и данные</w:t>
      </w:r>
      <w:bookmarkEnd w:id="6"/>
    </w:p>
    <w:p>
      <w:pPr>
        <w:pStyle w:val="Heading2"/>
      </w:pPr>
      <w:r>
        <w:rPr/>
        <w:t xml:space="preserve">6.1. Иерархия и идентификаторы</w:t>
      </w:r>
    </w:p>
    <w:p>
      <w:pPr>
        <w:pStyle w:val="Normal"/>
      </w:pPr>
      <w:r>
        <w:rPr/>
        <w:t xml:space="preserve">Объект → экземпляр стадии проектирования → этап календарного плана → график отдельного вида работ → участия специальностей → рабочие интервалы и передачи.</w:t>
      </w:r>
    </w:p>
    <w:p>
      <w:pPr>
        <w:pStyle w:val="Normal"/>
      </w:pPr>
      <w:r>
        <w:rPr/>
        <w:t xml:space="preserve">У одного объекта может быть несколько стадий, у стадии — несколько этапов, у этапа — несколько графиков. Наименование этапа и вида работ не заменяет друг друга. Один график может включать несколько моделей; идентификаторы их событий сохраняются в отдельных пространствах имён, например </w:t>
      </w:r>
      <w:r>
        <w:rPr>
          <w:rFonts w:ascii="Consolas" w:hAnsi="Consolas"/>
          <w:sz w:val="18"/>
        </w:rPr>
        <w:t xml:space="preserve">23-2/экземпляр-1/событие-5</w:t>
      </w:r>
      <w:r>
        <w:rPr/>
        <w:t xml:space="preserve">.</w:t>
      </w:r>
    </w:p>
    <w:p>
      <w:pPr>
        <w:pStyle w:val="Normal"/>
      </w:pPr>
      <w:r>
        <w:rPr/>
        <w:t xml:space="preserve">Системный ID неизменяем. Пользовательские шифры хранятся строками, включая ведущие нули. Номер графика должен быть уникальным в организации. Предлагаемый шаблон нового номера: </w:t>
      </w:r>
      <w:r>
        <w:rPr>
          <w:rFonts w:ascii="Consolas" w:hAnsi="Consolas"/>
          <w:sz w:val="18"/>
        </w:rPr>
        <w:t xml:space="preserve">{объект}.{стадия}.{этап}.{порядковый номер}</w:t>
      </w:r>
      <w:r>
        <w:rPr/>
        <w:t xml:space="preserve">; существующие номера допускаются без принудительного преобразования.</w:t>
      </w:r>
    </w:p>
    <w:p>
      <w:pPr>
        <w:pStyle w:val="Heading2"/>
      </w:pPr>
      <w:r>
        <w:rPr/>
        <w:t xml:space="preserve">6.2. Основные сущности</w:t>
      </w:r>
    </w:p>
    <w:tbl>
      <w:tblPr>
        <w:tblW w:w="9500" w:type="dxa"/>
        <w:tblLayout w:type="fixed"/>
        <w:tblBorders>
          <w:top w:val="single" w:sz="4" w:color="CBD6DF"/>
          <w:left w:val="single" w:sz="4" w:color="CBD6DF"/>
          <w:bottom w:val="single" w:sz="4" w:color="CBD6DF"/>
          <w:right w:val="single" w:sz="4" w:color="CBD6DF"/>
          <w:insideH w:val="single" w:sz="4" w:color="CBD6DF"/>
          <w:insideV w:val="single" w:sz="4" w:color="CBD6DF"/>
        </w:tblBorders>
        <w:tblCellMar>
          <w:top w:w="70" w:type="dxa"/>
          <w:bottom w:w="70" w:type="dxa"/>
          <w:left w:w="85" w:type="dxa"/>
          <w:right w:w="85" w:type="dxa"/>
        </w:tblCellMar>
      </w:tblPr>
      <w:tblGrid>
        <w:gridCol w:w="1878"/>
        <w:gridCol w:w="3736"/>
        <w:gridCol w:w="3886"/>
      </w:tblGrid>
      <w:tr>
        <w:trPr>
          <w:cantSplit/>
          <w:tblHeader/>
        </w:trPr>
        <w:tc>
          <w:tcPr>
            <w:tcW w:w="1878" w:type="dxa"/>
            <w:vAlign w:val="top"/>
            <w:shd w:fill="E7F0F5"/>
          </w:tcPr>
          <w:p>
            <w:pPr>
              <w:pStyle w:val="TableHeader"/>
            </w:pPr>
            <w:r>
              <w:rPr/>
              <w:t xml:space="preserve">Сущность</w:t>
            </w:r>
          </w:p>
        </w:tc>
        <w:tc>
          <w:tcPr>
            <w:tcW w:w="3736" w:type="dxa"/>
            <w:vAlign w:val="top"/>
            <w:shd w:fill="E7F0F5"/>
          </w:tcPr>
          <w:p>
            <w:pPr>
              <w:pStyle w:val="TableHeader"/>
            </w:pPr>
            <w:r>
              <w:rPr/>
              <w:t xml:space="preserve">Обязательные поля</w:t>
            </w:r>
          </w:p>
        </w:tc>
        <w:tc>
          <w:tcPr>
            <w:tcW w:w="3886" w:type="dxa"/>
            <w:vAlign w:val="top"/>
            <w:shd w:fill="E7F0F5"/>
          </w:tcPr>
          <w:p>
            <w:pPr>
              <w:pStyle w:val="TableHeader"/>
            </w:pPr>
            <w:r>
              <w:rPr/>
              <w:t xml:space="preserve">Существенные правила</w:t>
            </w:r>
          </w:p>
        </w:tc>
      </w:tr>
      <w:tr>
        <w:trPr>
          <w:cantSplit/>
        </w:trPr>
        <w:tc>
          <w:tcPr>
            <w:tcW w:w="1878" w:type="dxa"/>
            <w:vAlign w:val="top"/>
          </w:tcPr>
          <w:p>
            <w:pPr>
              <w:pStyle w:val="TableText"/>
            </w:pPr>
            <w:r>
              <w:rPr/>
              <w:t xml:space="preserve">Объект</w:t>
            </w:r>
          </w:p>
        </w:tc>
        <w:tc>
          <w:tcPr>
            <w:tcW w:w="3736" w:type="dxa"/>
            <w:vAlign w:val="top"/>
          </w:tcPr>
          <w:p>
            <w:pPr>
              <w:pStyle w:val="TableText"/>
            </w:pPr>
            <w:r>
              <w:rPr/>
              <w:t xml:space="preserve">ID, шифр, наименование, ГИП, статус</w:t>
            </w:r>
          </w:p>
        </w:tc>
        <w:tc>
          <w:tcPr>
            <w:tcW w:w="3886" w:type="dxa"/>
            <w:vAlign w:val="top"/>
          </w:tcPr>
          <w:p>
            <w:pPr>
              <w:pStyle w:val="TableText"/>
            </w:pPr>
            <w:r>
              <w:rPr/>
              <w:t xml:space="preserve">Шифр уникален; завершение объекта не удаляет графики</w:t>
            </w:r>
          </w:p>
        </w:tc>
      </w:tr>
      <w:tr>
        <w:trPr>
          <w:cantSplit/>
        </w:trPr>
        <w:tc>
          <w:tcPr>
            <w:tcW w:w="1878" w:type="dxa"/>
            <w:vAlign w:val="top"/>
            <w:shd w:fill="F7FAFC"/>
          </w:tcPr>
          <w:p>
            <w:pPr>
              <w:pStyle w:val="TableText"/>
            </w:pPr>
            <w:r>
              <w:rPr/>
              <w:t xml:space="preserve">Стадия объекта</w:t>
            </w:r>
          </w:p>
        </w:tc>
        <w:tc>
          <w:tcPr>
            <w:tcW w:w="3736" w:type="dxa"/>
            <w:vAlign w:val="top"/>
            <w:shd w:fill="F7FAFC"/>
          </w:tcPr>
          <w:p>
            <w:pPr>
              <w:pStyle w:val="TableText"/>
            </w:pPr>
            <w:r>
              <w:rPr/>
              <w:t xml:space="preserve">ID, объект, код стадии, наименование</w:t>
            </w:r>
          </w:p>
        </w:tc>
        <w:tc>
          <w:tcPr>
            <w:tcW w:w="3886" w:type="dxa"/>
            <w:vAlign w:val="top"/>
            <w:shd w:fill="F7FAFC"/>
          </w:tcPr>
          <w:p>
            <w:pPr>
              <w:pStyle w:val="TableText"/>
            </w:pPr>
            <w:r>
              <w:rPr/>
              <w:t xml:space="preserve">Справочник стадий расширяемый; РД из образца — исходное значение, не полный перечень</w:t>
            </w:r>
          </w:p>
        </w:tc>
      </w:tr>
      <w:tr>
        <w:trPr>
          <w:cantSplit/>
        </w:trPr>
        <w:tc>
          <w:tcPr>
            <w:tcW w:w="1878" w:type="dxa"/>
            <w:vAlign w:val="top"/>
          </w:tcPr>
          <w:p>
            <w:pPr>
              <w:pStyle w:val="TableText"/>
            </w:pPr>
            <w:r>
              <w:rPr/>
              <w:t xml:space="preserve">Этап</w:t>
            </w:r>
          </w:p>
        </w:tc>
        <w:tc>
          <w:tcPr>
            <w:tcW w:w="3736" w:type="dxa"/>
            <w:vAlign w:val="top"/>
          </w:tcPr>
          <w:p>
            <w:pPr>
              <w:pStyle w:val="TableText"/>
            </w:pPr>
            <w:r>
              <w:rPr/>
              <w:t xml:space="preserve">ID, стадия, номер, наименование, начало, окончание</w:t>
            </w:r>
          </w:p>
        </w:tc>
        <w:tc>
          <w:tcPr>
            <w:tcW w:w="3886" w:type="dxa"/>
            <w:vAlign w:val="top"/>
          </w:tcPr>
          <w:p>
            <w:pPr>
              <w:pStyle w:val="TableText"/>
            </w:pPr>
            <w:r>
              <w:rPr/>
              <w:t xml:space="preserve">Выход графика за рамки этапа запрещает утверждение до изменения этапа</w:t>
            </w:r>
          </w:p>
        </w:tc>
      </w:tr>
      <w:tr>
        <w:trPr>
          <w:cantSplit/>
        </w:trPr>
        <w:tc>
          <w:tcPr>
            <w:tcW w:w="1878" w:type="dxa"/>
            <w:vAlign w:val="top"/>
            <w:shd w:fill="F7FAFC"/>
          </w:tcPr>
          <w:p>
            <w:pPr>
              <w:pStyle w:val="TableText"/>
            </w:pPr>
            <w:r>
              <w:rPr/>
              <w:t xml:space="preserve">График</w:t>
            </w:r>
          </w:p>
        </w:tc>
        <w:tc>
          <w:tcPr>
            <w:tcW w:w="3736" w:type="dxa"/>
            <w:vAlign w:val="top"/>
            <w:shd w:fill="F7FAFC"/>
          </w:tcPr>
          <w:p>
            <w:pPr>
              <w:pStyle w:val="TableText"/>
            </w:pPr>
            <w:r>
              <w:rPr/>
              <w:t xml:space="preserve">ID, номер, этап, вид работ, ГИП, статус</w:t>
            </w:r>
          </w:p>
        </w:tc>
        <w:tc>
          <w:tcPr>
            <w:tcW w:w="3886" w:type="dxa"/>
            <w:vAlign w:val="top"/>
            <w:shd w:fill="F7FAFC"/>
          </w:tcPr>
          <w:p>
            <w:pPr>
              <w:pStyle w:val="TableText"/>
            </w:pPr>
            <w:r>
              <w:rPr/>
              <w:t xml:space="preserve">Содержит версии плана и отдельную историю факта</w:t>
            </w:r>
          </w:p>
        </w:tc>
      </w:tr>
      <w:tr>
        <w:trPr>
          <w:cantSplit/>
        </w:trPr>
        <w:tc>
          <w:tcPr>
            <w:tcW w:w="1878" w:type="dxa"/>
            <w:vAlign w:val="top"/>
          </w:tcPr>
          <w:p>
            <w:pPr>
              <w:pStyle w:val="TableText"/>
            </w:pPr>
            <w:r>
              <w:rPr/>
              <w:t xml:space="preserve">Версия плана</w:t>
            </w:r>
          </w:p>
        </w:tc>
        <w:tc>
          <w:tcPr>
            <w:tcW w:w="3736" w:type="dxa"/>
            <w:vAlign w:val="top"/>
          </w:tcPr>
          <w:p>
            <w:pPr>
              <w:pStyle w:val="TableText"/>
            </w:pPr>
            <w:r>
              <w:rPr/>
              <w:t xml:space="preserve">Номер, родительская версия, даты, календарь, сумма, экземпляры моделей, автор</w:t>
            </w:r>
          </w:p>
        </w:tc>
        <w:tc>
          <w:tcPr>
            <w:tcW w:w="3886" w:type="dxa"/>
            <w:vAlign w:val="top"/>
          </w:tcPr>
          <w:p>
            <w:pPr>
              <w:pStyle w:val="TableText"/>
            </w:pPr>
            <w:r>
              <w:rPr/>
              <w:t xml:space="preserve">Утверждённая версия неизменяема; хранит снимки наименований и назначений</w:t>
            </w:r>
          </w:p>
        </w:tc>
      </w:tr>
      <w:tr>
        <w:trPr>
          <w:cantSplit/>
        </w:trPr>
        <w:tc>
          <w:tcPr>
            <w:tcW w:w="1878" w:type="dxa"/>
            <w:vAlign w:val="top"/>
            <w:shd w:fill="F7FAFC"/>
          </w:tcPr>
          <w:p>
            <w:pPr>
              <w:pStyle w:val="TableText"/>
            </w:pPr>
            <w:r>
              <w:rPr/>
              <w:t xml:space="preserve">Участие специальности</w:t>
            </w:r>
          </w:p>
        </w:tc>
        <w:tc>
          <w:tcPr>
            <w:tcW w:w="3736" w:type="dxa"/>
            <w:vAlign w:val="top"/>
            <w:shd w:fill="F7FAFC"/>
          </w:tcPr>
          <w:p>
            <w:pPr>
              <w:pStyle w:val="TableText"/>
            </w:pPr>
            <w:r>
              <w:rPr/>
              <w:t xml:space="preserve">График, шифр специальности, отдел, начальник, авторы, сумма</w:t>
            </w:r>
          </w:p>
        </w:tc>
        <w:tc>
          <w:tcPr>
            <w:tcW w:w="3886" w:type="dxa"/>
            <w:vAlign w:val="top"/>
            <w:shd w:fill="F7FAFC"/>
          </w:tcPr>
          <w:p>
            <w:pPr>
              <w:pStyle w:val="TableText"/>
            </w:pPr>
            <w:r>
              <w:rPr/>
              <w:t xml:space="preserve">Одна строка на специальность и отдел; при нескольких отделах участия разделяются</w:t>
            </w:r>
          </w:p>
        </w:tc>
      </w:tr>
      <w:tr>
        <w:trPr>
          <w:cantSplit/>
        </w:trPr>
        <w:tc>
          <w:tcPr>
            <w:tcW w:w="1878" w:type="dxa"/>
            <w:vAlign w:val="top"/>
          </w:tcPr>
          <w:p>
            <w:pPr>
              <w:pStyle w:val="TableText"/>
            </w:pPr>
            <w:r>
              <w:rPr/>
              <w:t xml:space="preserve">Рабочий интервал</w:t>
            </w:r>
          </w:p>
        </w:tc>
        <w:tc>
          <w:tcPr>
            <w:tcW w:w="3736" w:type="dxa"/>
            <w:vAlign w:val="top"/>
          </w:tcPr>
          <w:p>
            <w:pPr>
              <w:pStyle w:val="TableText"/>
            </w:pPr>
            <w:r>
              <w:rPr/>
              <w:t xml:space="preserve">ID, участие, название, начало, окончание, связи</w:t>
            </w:r>
          </w:p>
        </w:tc>
        <w:tc>
          <w:tcPr>
            <w:tcW w:w="3886" w:type="dxa"/>
            <w:vAlign w:val="top"/>
          </w:tcPr>
          <w:p>
            <w:pPr>
              <w:pStyle w:val="TableText"/>
            </w:pPr>
            <w:r>
              <w:rPr/>
              <w:t xml:space="preserve">Одна специальность может работать в нескольких интервалах между событиями</w:t>
            </w:r>
          </w:p>
        </w:tc>
      </w:tr>
      <w:tr>
        <w:trPr>
          <w:cantSplit/>
        </w:trPr>
        <w:tc>
          <w:tcPr>
            <w:tcW w:w="1878" w:type="dxa"/>
            <w:vAlign w:val="top"/>
            <w:shd w:fill="F7FAFC"/>
          </w:tcPr>
          <w:p>
            <w:pPr>
              <w:pStyle w:val="TableText"/>
            </w:pPr>
            <w:r>
              <w:rPr/>
              <w:t xml:space="preserve">Технологическое событие</w:t>
            </w:r>
          </w:p>
        </w:tc>
        <w:tc>
          <w:tcPr>
            <w:tcW w:w="3736" w:type="dxa"/>
            <w:vAlign w:val="top"/>
            <w:shd w:fill="F7FAFC"/>
          </w:tcPr>
          <w:p>
            <w:pPr>
              <w:pStyle w:val="TableText"/>
            </w:pPr>
            <w:r>
              <w:rPr/>
              <w:t xml:space="preserve">ID, исходный номер, модель, наименование, плановая дата</w:t>
            </w:r>
          </w:p>
        </w:tc>
        <w:tc>
          <w:tcPr>
            <w:tcW w:w="3886" w:type="dxa"/>
            <w:vAlign w:val="top"/>
            <w:shd w:fill="F7FAFC"/>
          </w:tcPr>
          <w:p>
            <w:pPr>
              <w:pStyle w:val="TableText"/>
            </w:pPr>
            <w:r>
              <w:rPr/>
              <w:t xml:space="preserve">Момент передачи или контрольная точка; длительность нулевая</w:t>
            </w:r>
          </w:p>
        </w:tc>
      </w:tr>
      <w:tr>
        <w:trPr>
          <w:cantSplit/>
        </w:trPr>
        <w:tc>
          <w:tcPr>
            <w:tcW w:w="1878" w:type="dxa"/>
            <w:vAlign w:val="top"/>
          </w:tcPr>
          <w:p>
            <w:pPr>
              <w:pStyle w:val="TableText"/>
            </w:pPr>
            <w:r>
              <w:rPr/>
              <w:t xml:space="preserve">Передача задания</w:t>
            </w:r>
          </w:p>
        </w:tc>
        <w:tc>
          <w:tcPr>
            <w:tcW w:w="3736" w:type="dxa"/>
            <w:vAlign w:val="top"/>
          </w:tcPr>
          <w:p>
            <w:pPr>
              <w:pStyle w:val="TableText"/>
            </w:pPr>
            <w:r>
              <w:rPr/>
              <w:t xml:space="preserve">Событие, выдающие участия, получающие участия/внешний адресат, содержание, плановая дата</w:t>
            </w:r>
          </w:p>
        </w:tc>
        <w:tc>
          <w:tcPr>
            <w:tcW w:w="3886" w:type="dxa"/>
            <w:vAlign w:val="top"/>
          </w:tcPr>
          <w:p>
            <w:pPr>
              <w:pStyle w:val="TableText"/>
            </w:pPr>
            <w:r>
              <w:rPr/>
              <w:t xml:space="preserve">Факт и история хранятся отдельно; возможны несколько передач в одном событии</w:t>
            </w:r>
          </w:p>
        </w:tc>
      </w:tr>
      <w:tr>
        <w:trPr>
          <w:cantSplit/>
        </w:trPr>
        <w:tc>
          <w:tcPr>
            <w:tcW w:w="1878" w:type="dxa"/>
            <w:vAlign w:val="top"/>
            <w:shd w:fill="F7FAFC"/>
          </w:tcPr>
          <w:p>
            <w:pPr>
              <w:pStyle w:val="TableText"/>
            </w:pPr>
            <w:r>
              <w:rPr/>
              <w:t xml:space="preserve">Зависимость</w:t>
            </w:r>
          </w:p>
        </w:tc>
        <w:tc>
          <w:tcPr>
            <w:tcW w:w="3736" w:type="dxa"/>
            <w:vAlign w:val="top"/>
            <w:shd w:fill="F7FAFC"/>
          </w:tcPr>
          <w:p>
            <w:pPr>
              <w:pStyle w:val="TableText"/>
            </w:pPr>
            <w:r>
              <w:rPr/>
              <w:t xml:space="preserve">Предшественник, последователь, тип, лаг</w:t>
            </w:r>
          </w:p>
        </w:tc>
        <w:tc>
          <w:tcPr>
            <w:tcW w:w="3886" w:type="dxa"/>
            <w:vAlign w:val="top"/>
            <w:shd w:fill="F7FAFC"/>
          </w:tcPr>
          <w:p>
            <w:pPr>
              <w:pStyle w:val="TableText"/>
            </w:pPr>
            <w:r>
              <w:rPr/>
              <w:t xml:space="preserve">Узлы — интервалы и события, а не специальности в целом</w:t>
            </w:r>
          </w:p>
        </w:tc>
      </w:tr>
      <w:tr>
        <w:trPr>
          <w:cantSplit/>
        </w:trPr>
        <w:tc>
          <w:tcPr>
            <w:tcW w:w="1878" w:type="dxa"/>
            <w:vAlign w:val="top"/>
          </w:tcPr>
          <w:p>
            <w:pPr>
              <w:pStyle w:val="TableText"/>
            </w:pPr>
            <w:r>
              <w:rPr/>
              <w:t xml:space="preserve">Запись факта</w:t>
            </w:r>
          </w:p>
        </w:tc>
        <w:tc>
          <w:tcPr>
            <w:tcW w:w="3736" w:type="dxa"/>
            <w:vAlign w:val="top"/>
          </w:tcPr>
          <w:p>
            <w:pPr>
              <w:pStyle w:val="TableText"/>
            </w:pPr>
            <w:r>
              <w:rPr/>
              <w:t xml:space="preserve">Сущность, дата состояния, время регистрации, автор, значения, причина исправления</w:t>
            </w:r>
          </w:p>
        </w:tc>
        <w:tc>
          <w:tcPr>
            <w:tcW w:w="3886" w:type="dxa"/>
            <w:vAlign w:val="top"/>
          </w:tcPr>
          <w:p>
            <w:pPr>
              <w:pStyle w:val="TableText"/>
            </w:pPr>
            <w:r>
              <w:rPr/>
              <w:t xml:space="preserve">Добавление новой записи вместо незаметного перезаписывания истории</w:t>
            </w:r>
          </w:p>
        </w:tc>
      </w:tr>
      <w:tr>
        <w:trPr>
          <w:cantSplit/>
        </w:trPr>
        <w:tc>
          <w:tcPr>
            <w:tcW w:w="1878" w:type="dxa"/>
            <w:vAlign w:val="top"/>
            <w:shd w:fill="F7FAFC"/>
          </w:tcPr>
          <w:p>
            <w:pPr>
              <w:pStyle w:val="TableText"/>
            </w:pPr>
            <w:r>
              <w:rPr/>
              <w:t xml:space="preserve">Модель и версия модели</w:t>
            </w:r>
          </w:p>
        </w:tc>
        <w:tc>
          <w:tcPr>
            <w:tcW w:w="3736" w:type="dxa"/>
            <w:vAlign w:val="top"/>
            <w:shd w:fill="F7FAFC"/>
          </w:tcPr>
          <w:p>
            <w:pPr>
              <w:pStyle w:val="TableText"/>
            </w:pPr>
            <w:r>
              <w:rPr/>
              <w:t xml:space="preserve">Шифр, название, специальности, события, интервалы, зависимости, статус</w:t>
            </w:r>
          </w:p>
        </w:tc>
        <w:tc>
          <w:tcPr>
            <w:tcW w:w="3886" w:type="dxa"/>
            <w:vAlign w:val="top"/>
            <w:shd w:fill="F7FAFC"/>
          </w:tcPr>
          <w:p>
            <w:pPr>
              <w:pStyle w:val="TableText"/>
            </w:pPr>
            <w:r>
              <w:rPr/>
              <w:t xml:space="preserve">Опубликованная версия неизменяема</w:t>
            </w:r>
          </w:p>
        </w:tc>
      </w:tr>
      <w:tr>
        <w:trPr>
          <w:cantSplit/>
        </w:trPr>
        <w:tc>
          <w:tcPr>
            <w:tcW w:w="1878" w:type="dxa"/>
            <w:vAlign w:val="top"/>
          </w:tcPr>
          <w:p>
            <w:pPr>
              <w:pStyle w:val="TableText"/>
            </w:pPr>
            <w:r>
              <w:rPr/>
              <w:t xml:space="preserve">Производственный календарь</w:t>
            </w:r>
          </w:p>
        </w:tc>
        <w:tc>
          <w:tcPr>
            <w:tcW w:w="3736" w:type="dxa"/>
            <w:vAlign w:val="top"/>
          </w:tcPr>
          <w:p>
            <w:pPr>
              <w:pStyle w:val="TableText"/>
            </w:pPr>
            <w:r>
              <w:rPr/>
              <w:t xml:space="preserve">Год, версия, дни и их тип, источник, автор публикации</w:t>
            </w:r>
          </w:p>
        </w:tc>
        <w:tc>
          <w:tcPr>
            <w:tcW w:w="3886" w:type="dxa"/>
            <w:vAlign w:val="top"/>
          </w:tcPr>
          <w:p>
            <w:pPr>
              <w:pStyle w:val="TableText"/>
            </w:pPr>
            <w:r>
              <w:rPr/>
              <w:t xml:space="preserve">План ссылается на конкретную версию календаря</w:t>
            </w:r>
          </w:p>
        </w:tc>
      </w:tr>
      <w:tr>
        <w:trPr>
          <w:cantSplit/>
        </w:trPr>
        <w:tc>
          <w:tcPr>
            <w:tcW w:w="1878" w:type="dxa"/>
            <w:vAlign w:val="top"/>
            <w:shd w:fill="F7FAFC"/>
          </w:tcPr>
          <w:p>
            <w:pPr>
              <w:pStyle w:val="TableText"/>
            </w:pPr>
            <w:r>
              <w:rPr/>
              <w:t xml:space="preserve">Согласование</w:t>
            </w:r>
          </w:p>
        </w:tc>
        <w:tc>
          <w:tcPr>
            <w:tcW w:w="3736" w:type="dxa"/>
            <w:vAlign w:val="top"/>
            <w:shd w:fill="F7FAFC"/>
          </w:tcPr>
          <w:p>
            <w:pPr>
              <w:pStyle w:val="TableText"/>
            </w:pPr>
            <w:r>
              <w:rPr/>
              <w:t xml:space="preserve">Версия, назначенный директор, решение, комментарий, время</w:t>
            </w:r>
          </w:p>
        </w:tc>
        <w:tc>
          <w:tcPr>
            <w:tcW w:w="3886" w:type="dxa"/>
            <w:vAlign w:val="top"/>
            <w:shd w:fill="F7FAFC"/>
          </w:tcPr>
          <w:p>
            <w:pPr>
              <w:pStyle w:val="TableText"/>
            </w:pPr>
            <w:r>
              <w:rPr/>
              <w:t xml:space="preserve">Подпись в интерфейсе — запись решения, не квалифицированная ЭП</w:t>
            </w:r>
          </w:p>
        </w:tc>
      </w:tr>
      <w:tr>
        <w:trPr>
          <w:cantSplit/>
        </w:trPr>
        <w:tc>
          <w:tcPr>
            <w:tcW w:w="1878" w:type="dxa"/>
            <w:vAlign w:val="top"/>
          </w:tcPr>
          <w:p>
            <w:pPr>
              <w:pStyle w:val="TableText"/>
            </w:pPr>
            <w:r>
              <w:rPr/>
              <w:t xml:space="preserve">Снимок отчёта</w:t>
            </w:r>
          </w:p>
        </w:tc>
        <w:tc>
          <w:tcPr>
            <w:tcW w:w="3736" w:type="dxa"/>
            <w:vAlign w:val="top"/>
          </w:tcPr>
          <w:p>
            <w:pPr>
              <w:pStyle w:val="TableText"/>
            </w:pPr>
            <w:r>
              <w:rPr/>
              <w:t xml:space="preserve">Вид, фильтры, дата состояния, момент знания, автор, версия формул, результат</w:t>
            </w:r>
          </w:p>
        </w:tc>
        <w:tc>
          <w:tcPr>
            <w:tcW w:w="3886" w:type="dxa"/>
            <w:vAlign w:val="top"/>
          </w:tcPr>
          <w:p>
            <w:pPr>
              <w:pStyle w:val="TableText"/>
            </w:pPr>
            <w:r>
              <w:rPr/>
              <w:t xml:space="preserve">Неизменяем; повторная выгрузка использует тот же результат</w:t>
            </w:r>
          </w:p>
        </w:tc>
      </w:tr>
    </w:tbl>
    <w:p>
      <w:pPr>
        <w:pStyle w:val="TableAfter"/>
      </w:pPr>
    </w:p>
    <w:p>
      <w:pPr>
        <w:pStyle w:val="Heading2"/>
      </w:pPr>
      <w:r>
        <w:rPr/>
        <w:t xml:space="preserve">6.3. Справочники и валидации</w:t>
      </w:r>
    </w:p>
    <w:p>
      <w:pPr>
        <w:pStyle w:val="Normal"/>
      </w:pPr>
      <w:r>
        <w:rPr>
          <w:b/>
        </w:rPr>
        <w:t xml:space="preserve">FR-DATA-01.</w:t>
      </w:r>
      <w:r>
        <w:rPr/>
        <w:t xml:space="preserve"> Справочники: специальности, отделы, сотрудники, стадии, виды работ, причины задержек, модели, календари. У записи есть активность и период действия. Использованные записи архивируются вместо удаления.</w:t>
      </w:r>
    </w:p>
    <w:p>
      <w:pPr>
        <w:pStyle w:val="Normal"/>
      </w:pPr>
      <w:r>
        <w:rPr>
          <w:b/>
        </w:rPr>
        <w:t xml:space="preserve">FR-DATA-02.</w:t>
      </w:r>
      <w:r>
        <w:rPr/>
        <w:t xml:space="preserve"> Специальность и производственный отдел — разные сущности. Один отдел может отвечать за несколько специальностей. Для участия в графике ответственное подразделение выбирается явно.</w:t>
      </w:r>
    </w:p>
    <w:p>
      <w:pPr>
        <w:pStyle w:val="Normal"/>
      </w:pPr>
      <w:r>
        <w:rPr>
          <w:b/>
        </w:rPr>
        <w:t xml:space="preserve">FR-DATA-03.</w:t>
      </w:r>
      <w:r>
        <w:rPr/>
        <w:t xml:space="preserve"> На каждое участие назначается один ответственный начальник и один или несколько авторов раздела. При необходимости нескольких отделов сумма и объём распределяются между отдельными участиями без дублирования.</w:t>
      </w:r>
    </w:p>
    <w:p>
      <w:pPr>
        <w:pStyle w:val="Normal"/>
      </w:pPr>
      <w:r>
        <w:rPr>
          <w:b/>
        </w:rPr>
        <w:t xml:space="preserve">FR-DATA-04.</w:t>
      </w:r>
      <w:r>
        <w:rPr/>
        <w:t xml:space="preserve"> У каждого поля факта показываются дата состояния, автор и время последнего обновления. Значение «нет данных» отличается от нуля и от «не применимо».</w:t>
      </w:r>
    </w:p>
    <w:p>
      <w:pPr>
        <w:pStyle w:val="Normal"/>
      </w:pPr>
      <w:r>
        <w:rPr>
          <w:b/>
        </w:rPr>
        <w:t xml:space="preserve">FR-DATA-05.</w:t>
      </w:r>
      <w:r>
        <w:rPr/>
        <w:t xml:space="preserve"> Плановые даты внутри графика должны лежать в его пределах; сумма по участиям равна сумме графика; шифры специальностей и моделей должны существовать; строки отрицательной стоимости запрещены.</w:t>
      </w:r>
    </w:p>
    <w:p>
      <w:pPr>
        <w:pStyle w:val="Normal"/>
      </w:pPr>
      <w:r>
        <w:rPr>
          <w:b/>
        </w:rPr>
        <w:t xml:space="preserve">FR-DATA-06.</w:t>
      </w:r>
      <w:r>
        <w:rPr/>
        <w:t xml:space="preserve"> Изменение границ этапа, на который уже есть утверждённые графики, оформляется отдельной версией этапа и утверждается одним из двух директоров. Система показывает затронутые графики; их даты не меняются автоматически. Исторические графики сохраняют ссылку на прежнюю версию этапа.</w:t>
      </w:r>
    </w:p>
    <w:p>
      <w:pPr>
        <w:pStyle w:val="Heading1"/>
      </w:pPr>
      <w:bookmarkStart w:id="7" w:name="section_7"/>
      <w:r>
        <w:rPr/>
        <w:t xml:space="preserve">7. Сетевые модели и технологические передачи</w:t>
      </w:r>
      <w:bookmarkEnd w:id="7"/>
    </w:p>
    <w:p>
      <w:pPr>
        <w:pStyle w:val="Heading2"/>
      </w:pPr>
      <w:r>
        <w:rPr/>
        <w:t xml:space="preserve">7.1. Представление модели</w:t>
      </w:r>
    </w:p>
    <w:p>
      <w:pPr>
        <w:pStyle w:val="Normal"/>
      </w:pPr>
      <w:r>
        <w:rPr>
          <w:b/>
        </w:rPr>
        <w:t xml:space="preserve">FR-NET-01.</w:t>
      </w:r>
      <w:r>
        <w:rPr/>
        <w:t xml:space="preserve"> Модель задаёт применимые специальности, технологические события, рабочие интервалы между ними, зависимости и содержание передач. Каталог имён без связей не считается готовой к применению моделью.</w:t>
      </w:r>
    </w:p>
    <w:p>
      <w:pPr>
        <w:pStyle w:val="Normal"/>
      </w:pPr>
      <w:r>
        <w:rPr>
          <w:b/>
        </w:rPr>
        <w:t xml:space="preserve">FR-NET-02.</w:t>
      </w:r>
      <w:r>
        <w:rPr/>
        <w:t xml:space="preserve"> Состояния шаблона: «Черновик», «На проверке», «Опубликован», «Архивный». Методолог готовит шаблон, технический директор проверяет его технологическое содержание; публикацию фиксирует методолог. В график выбирается только опубликованная версия.</w:t>
      </w:r>
    </w:p>
    <w:p>
      <w:pPr>
        <w:pStyle w:val="Normal"/>
      </w:pPr>
      <w:r>
        <w:rPr>
          <w:b/>
        </w:rPr>
        <w:t xml:space="preserve">FR-NET-03.</w:t>
      </w:r>
      <w:r>
        <w:rPr/>
        <w:t xml:space="preserve"> При применении создаётся экземпляр модели со ссылкой на исходную версию. Изменение библиотеки не изменяет уже созданные графики. Обновление экземпляра выполняется через сравнение и новую редакцию графика.</w:t>
      </w:r>
    </w:p>
    <w:p>
      <w:pPr>
        <w:pStyle w:val="Normal"/>
      </w:pPr>
      <w:r>
        <w:rPr>
          <w:b/>
        </w:rPr>
        <w:t xml:space="preserve">FR-NET-04.</w:t>
      </w:r>
      <w:r>
        <w:rPr/>
        <w:t xml:space="preserve"> ГИП может отметить специальность или событие как неприменимые с причиной. Система показывает затрагиваемые связи. Обязательный узел нельзя убрать, оставив зависимые работы без основания начала: требуется явная замена или исключение всей неприменимой ветви, рассматриваемое при утверждении.</w:t>
      </w:r>
    </w:p>
    <w:p>
      <w:pPr>
        <w:pStyle w:val="Normal"/>
      </w:pPr>
      <w:r>
        <w:rPr>
          <w:b/>
        </w:rPr>
        <w:t xml:space="preserve">FR-NET-05.</w:t>
      </w:r>
      <w:r>
        <w:rPr/>
        <w:t xml:space="preserve"> Объединение моделей не объединяет события только по одинаковому номеру. Между экземплярами создаются явные связи. Допускаются связи между графиками одного объекта; между объектами — вне P0.</w:t>
      </w:r>
    </w:p>
    <w:p>
      <w:pPr>
        <w:pStyle w:val="Normal"/>
      </w:pPr>
      <w:r>
        <w:rPr>
          <w:b/>
        </w:rPr>
        <w:t xml:space="preserve">FR-NET-06.</w:t>
      </w:r>
      <w:r>
        <w:rPr/>
        <w:t xml:space="preserve"> Одна специальность может передавать данные самой себе на следующем технологическом шаге. Это не цикл, если узлы отражают разные интервалы или события. Настоящий цикл зависимостей блокирует публикацию модели и утверждение графика.</w:t>
      </w:r>
    </w:p>
    <w:p>
      <w:pPr>
        <w:pStyle w:val="Heading2"/>
      </w:pPr>
      <w:r>
        <w:rPr/>
        <w:t xml:space="preserve">7.2. Передачи и групповые события</w:t>
      </w:r>
    </w:p>
    <w:p>
      <w:pPr>
        <w:pStyle w:val="Normal"/>
      </w:pPr>
      <w:r>
        <w:rPr/>
        <w:t xml:space="preserve">Передача содержит источник, адресата и содержание данных. В одном событии может быть несколько отдельных передач с разными сроками и фактом. Отображаемая дата группового события — самая поздняя плановая дата его обязательных передач; факт группового события появляется, когда выполнены все обязательные передачи, и равен максимальной фактической дате.</w:t>
      </w:r>
    </w:p>
    <w:p>
      <w:pPr>
        <w:pStyle w:val="Normal"/>
      </w:pPr>
      <w:r>
        <w:rPr>
          <w:b/>
        </w:rPr>
        <w:t xml:space="preserve">FR-NET-07.</w:t>
      </w:r>
      <w:r>
        <w:rPr/>
        <w:t xml:space="preserve"> Если источник содержит списки отправителей и получателей без точного соответствия, хранится групповая передача. Система не создаёт автоматически все возможные пары. Зависимая работа стартует после выполнения всех обязательных источников данной передачи, если шаблон явно не разделён на независимые передачи.</w:t>
      </w:r>
    </w:p>
    <w:p>
      <w:pPr>
        <w:pStyle w:val="Normal"/>
      </w:pPr>
      <w:r>
        <w:rPr>
          <w:b/>
        </w:rPr>
        <w:t xml:space="preserve">FR-NET-08.</w:t>
      </w:r>
      <w:r>
        <w:rPr/>
        <w:t xml:space="preserve"> Получателем может быть внешний адресат: «Архив», «Заказчик». Для него не требуется фиктивная специальность или учётная запись.</w:t>
      </w:r>
    </w:p>
    <w:p>
      <w:pPr>
        <w:pStyle w:val="Normal"/>
      </w:pPr>
      <w:r>
        <w:rPr>
          <w:b/>
        </w:rPr>
        <w:t xml:space="preserve">FR-NET-09.</w:t>
      </w:r>
      <w:r>
        <w:rPr/>
        <w:t xml:space="preserve"> В интерфейсе передача показывается как «кто → кому», с содержанием и сроком. В печатном представлении стрелки отражают направление, принятое в образце: выдача слева от границы события, получение справа. Легенда обязательна.</w:t>
      </w:r>
    </w:p>
    <w:p>
      <w:pPr>
        <w:pStyle w:val="Normal"/>
      </w:pPr>
      <w:r>
        <w:rPr>
          <w:b/>
        </w:rPr>
        <w:t xml:space="preserve">FR-NET-10.</w:t>
      </w:r>
      <w:r>
        <w:rPr/>
        <w:t xml:space="preserve"> Для разрешения частичного старта работы создаётся отдельное промежуточное событие выдачи достаточных исходных данных. Не допускается имитировать такую связь удалением зависимости.</w:t>
      </w:r>
    </w:p>
    <w:p>
      <w:pPr>
        <w:pStyle w:val="Heading2"/>
      </w:pPr>
      <w:r>
        <w:rPr/>
        <w:t xml:space="preserve">7.3. Что можно перенести из предоставленного файла</w:t>
      </w:r>
    </w:p>
    <w:p>
      <w:pPr>
        <w:pStyle w:val="Normal"/>
      </w:pPr>
      <w:r>
        <w:rPr/>
        <w:t xml:space="preserve">Файл содержит 21 специальность, 17 наименований моделей, таблицу передач модели 23-2 и один растровый образец графика. Полных сетевых зависимостей для остальных 16 моделей в файле нет. Таблица 23-2 описывает передачи, но сама по себе не доказывает все интервалы работ и длительности.</w:t>
      </w:r>
    </w:p>
    <w:p>
      <w:pPr>
        <w:pStyle w:val="Normal"/>
      </w:pPr>
      <w:r>
        <w:rPr/>
        <w:t xml:space="preserve">При внедрении справочники переносятся как исходные записи. Модель 23-2 подготавливается как черновик для методической проверки. Остальные модели создаются как карточки без статуса «готова к применению», пока их структура не введена через редактор или импорт. Это зависимость подготовки производственных данных, а не основание откладывать разработку продукта.</w:t>
      </w:r>
    </w:p>
    <w:p>
      <w:pPr>
        <w:pStyle w:val="Normal"/>
      </w:pPr>
      <w:r>
        <w:rPr/>
        <w:t xml:space="preserve">В изображении присутствуют события 0 и 11, отсутствующие в таблице 1–10. Они не добавляются в шаблон автоматически. У события 3 две передачи: получателям 232 и 193; отправители 062, 092, 072 указаны в общей вертикально объединённой ячейке DOCX и относятся к обеим строкам. Числа и проценты изображения не объявляются нормативами модели.</w:t>
      </w:r>
    </w:p>
    <w:p>
      <w:pPr>
        <w:pStyle w:val="Heading1"/>
      </w:pPr>
      <w:bookmarkStart w:id="8" w:name="section_8"/>
      <w:r>
        <w:rPr/>
        <w:t xml:space="preserve">8. Планирование, календарь и критический путь</w:t>
      </w:r>
      <w:bookmarkEnd w:id="8"/>
    </w:p>
    <w:p>
      <w:pPr>
        <w:pStyle w:val="Heading2"/>
      </w:pPr>
      <w:r>
        <w:rPr/>
        <w:t xml:space="preserve">8.1. Производственный календарь</w:t>
      </w:r>
    </w:p>
    <w:p>
      <w:pPr>
        <w:pStyle w:val="Normal"/>
      </w:pPr>
      <w:r>
        <w:rPr>
          <w:b/>
        </w:rPr>
        <w:t xml:space="preserve">FR-CAL-01.</w:t>
      </w:r>
      <w:r>
        <w:rPr/>
        <w:t xml:space="preserve"> Базовая неделя — понедельник–пятница. Календарь поддерживает праздники Республики Узбекистан, дополнительные нерабочие дни и рабочие дни, перенесённые на выходные. Конкретные исключения задаются по годам.</w:t>
      </w:r>
    </w:p>
    <w:p>
      <w:pPr>
        <w:pStyle w:val="Normal"/>
      </w:pPr>
      <w:r>
        <w:rPr>
          <w:b/>
        </w:rPr>
        <w:t xml:space="preserve">FR-CAL-02.</w:t>
      </w:r>
      <w:r>
        <w:rPr/>
        <w:t xml:space="preserve"> Официальные акты используются как источник обновлений, а не как автоматическая неизменная формула. Например, указ на 2026 год предусматривает дополнительные нерабочие дни и переносы выходных. Источник: </w:t>
      </w:r>
      <w:hyperlink r:id="rId10">
        <w:r>
          <w:rPr>
            <w:color w:val="126495"/>
            <w:u w:val="single"/>
          </w:rPr>
          <w:t xml:space="preserve">Указ от 24.12.2025 о нерабочих днях и переносах в 2026 году</w:t>
        </w:r>
      </w:hyperlink>
      <w:r>
        <w:rPr/>
        <w:t xml:space="preserve">. Даты отдельных праздников могут уточняться отдельными актами, например </w:t>
      </w:r>
      <w:hyperlink r:id="rId11">
        <w:r>
          <w:rPr>
            <w:color w:val="126495"/>
            <w:u w:val="single"/>
          </w:rPr>
          <w:t xml:space="preserve">решением о Курбан хайите в 2026 году</w:t>
        </w:r>
      </w:hyperlink>
      <w:r>
        <w:rPr/>
        <w:t xml:space="preserve">. Полный календарь конкретного года должен быть опубликован методологом после проверки источников.</w:t>
      </w:r>
    </w:p>
    <w:p>
      <w:pPr>
        <w:pStyle w:val="Normal"/>
      </w:pPr>
      <w:r>
        <w:rPr>
          <w:b/>
        </w:rPr>
        <w:t xml:space="preserve">FR-CAL-03.</w:t>
      </w:r>
      <w:r>
        <w:rPr/>
        <w:t xml:space="preserve"> Система не считает неизвестные праздники вычисленными. Для периода без опубликованного календаря допускается черновик с предупреждением; утверждение блокируется до покрытия всех лет графика.</w:t>
      </w:r>
    </w:p>
    <w:p>
      <w:pPr>
        <w:pStyle w:val="Normal"/>
      </w:pPr>
      <w:r>
        <w:rPr>
          <w:b/>
        </w:rPr>
        <w:t xml:space="preserve">FR-CAL-04.</w:t>
      </w:r>
      <w:r>
        <w:rPr/>
        <w:t xml:space="preserve"> Начало и окончание обычной работы включаются в длительность: работа с понедельника по понедельник длится 1 рабочий день. Событие имеет 0 дней. Начало или окончание плановой работы в нерабочий день блокирует утверждение; фактическая дата в такой день допустима и не меняет календарь.</w:t>
      </w:r>
    </w:p>
    <w:p>
      <w:pPr>
        <w:pStyle w:val="Normal"/>
      </w:pPr>
      <w:r>
        <w:rPr>
          <w:b/>
        </w:rPr>
        <w:t xml:space="preserve">FR-CAL-05.</w:t>
      </w:r>
      <w:r>
        <w:rPr/>
        <w:t xml:space="preserve"> Публикация новой версии календаря не переписывает утверждённые документы. Система показывает графики, на которые повлияло изменение; принятие нового календаря выполняется новой версией плана. В отчёте указываются версия календаря и основание расчёта.</w:t>
      </w:r>
    </w:p>
    <w:p>
      <w:pPr>
        <w:pStyle w:val="Heading2"/>
      </w:pPr>
      <w:r>
        <w:rPr/>
        <w:t xml:space="preserve">8.2. Ручные сроки и зависимости</w:t>
      </w:r>
    </w:p>
    <w:p>
      <w:pPr>
        <w:pStyle w:val="Normal"/>
      </w:pPr>
      <w:r>
        <w:rPr>
          <w:b/>
        </w:rPr>
        <w:t xml:space="preserve">FR-PLAN-01.</w:t>
      </w:r>
      <w:r>
        <w:rPr/>
        <w:t xml:space="preserve"> ГИП вводит начало и окончание графика, даты каждого рабочего интервала и сроки передач. Начало участия специальности равно минимальному началу его интервалов, окончание — максимальному окончанию. Длительность участия не равна сумме длительностей, если интервалы перекрываются.</w:t>
      </w:r>
    </w:p>
    <w:p>
      <w:pPr>
        <w:pStyle w:val="Normal"/>
      </w:pPr>
      <w:r>
        <w:rPr>
          <w:b/>
        </w:rPr>
        <w:t xml:space="preserve">FR-PLAN-02.</w:t>
      </w:r>
      <w:r>
        <w:rPr/>
        <w:t xml:space="preserve"> Перетаскивание полосы в Ганте считается ручным редактированием. До сохранения показываются новые даты, длительность и нарушенные зависимости. В утверждённом плане редактирование открывает новую редакцию.</w:t>
      </w:r>
    </w:p>
    <w:p>
      <w:pPr>
        <w:pStyle w:val="Normal"/>
      </w:pPr>
      <w:r>
        <w:rPr>
          <w:b/>
        </w:rPr>
        <w:t xml:space="preserve">FR-PLAN-03.</w:t>
      </w:r>
      <w:r>
        <w:rPr/>
        <w:t xml:space="preserve"> Типовая связь — «окончание → начало». Также P0 поддерживает «начало → начало» и «окончание → окончание» с неотрицательным лагом в рабочих днях. Связь «начало → окончание» и отрицательные лаги не входят в P0; перекрытие описывается промежуточной выдачей.</w:t>
      </w:r>
    </w:p>
    <w:p>
      <w:pPr>
        <w:pStyle w:val="Normal"/>
      </w:pPr>
      <w:r>
        <w:rPr>
          <w:b/>
        </w:rPr>
        <w:t xml:space="preserve">FR-PLAN-04.</w:t>
      </w:r>
      <w:r>
        <w:rPr/>
        <w:t xml:space="preserve"> Для обычных работ связь «окончание → начало» с нулевым лагом означает старт в следующий рабочий день после завершения предшественника. Передача может происходить в начале либо в конце рабочего дня; позиция обязательна. Значение по умолчанию — конец дня. Передача в начале дня позволяет начать работу в этот день, в конце — со следующего рабочего дня.</w:t>
      </w:r>
    </w:p>
    <w:p>
      <w:pPr>
        <w:pStyle w:val="Normal"/>
      </w:pPr>
      <w:r>
        <w:rPr>
          <w:b/>
        </w:rPr>
        <w:t xml:space="preserve">FR-PLAN-05.</w:t>
      </w:r>
      <w:r>
        <w:rPr/>
        <w:t xml:space="preserve"> Невыполнимые зависимости, циклы, даты вне границ и отрицательная длительность блокируют утверждение. Система называет конкретные узлы и требуемую допустимую дату. Сохранять неполный черновик разрешено.</w:t>
      </w:r>
    </w:p>
    <w:p>
      <w:pPr>
        <w:pStyle w:val="Normal"/>
      </w:pPr>
      <w:r>
        <w:rPr>
          <w:b/>
        </w:rPr>
        <w:t xml:space="preserve">FR-PLAN-06.</w:t>
      </w:r>
      <w:r>
        <w:rPr/>
        <w:t xml:space="preserve"> На экране отдельно видны первоначальный план, действующий утверждённый план, факт и при наличии ручной прогноз. Прогноз не заменяет утверждённые сроки и не вступает в силу сам.</w:t>
      </w:r>
    </w:p>
    <w:p>
      <w:pPr>
        <w:pStyle w:val="Heading2"/>
      </w:pPr>
      <w:r>
        <w:rPr/>
        <w:t xml:space="preserve">8.3. Расчёт критического пути</w:t>
      </w:r>
    </w:p>
    <w:p>
      <w:pPr>
        <w:pStyle w:val="Normal"/>
      </w:pPr>
      <w:r>
        <w:rPr>
          <w:b/>
        </w:rPr>
        <w:t xml:space="preserve">FR-CPM-01.</w:t>
      </w:r>
      <w:r>
        <w:rPr/>
        <w:t xml:space="preserve"> Расчёт использует ориентированный ациклический граф рабочих интервалов и событий. Длительность интервала берётся из вручную заданных дат по календарю выбранной версии. Стоимость и число исполнителей не влияют на длительность CPM.</w:t>
      </w:r>
    </w:p>
    <w:p>
      <w:pPr>
        <w:pStyle w:val="Normal"/>
      </w:pPr>
      <w:r>
        <w:rPr>
          <w:b/>
        </w:rPr>
        <w:t xml:space="preserve">FR-CPM-02.</w:t>
      </w:r>
      <w:r>
        <w:rPr/>
        <w:t xml:space="preserve"> Внутреннее представление времени — границы рабочих дней. Рабочий интервал занимает полуоткрытый диапазон </w:t>
      </w:r>
      <w:r>
        <w:rPr>
          <w:rFonts w:ascii="Consolas" w:hAnsi="Consolas"/>
          <w:sz w:val="18"/>
        </w:rPr>
        <w:t xml:space="preserve">[начало, начало + длительность)</w:t>
      </w:r>
      <w:r>
        <w:rPr/>
        <w:t xml:space="preserve">. Экранная дата окончания — дата последнего занятого дня. Это устраняет двойной учёт включённых дат.</w:t>
      </w:r>
    </w:p>
    <w:p>
      <w:pPr>
        <w:pStyle w:val="Normal"/>
      </w:pPr>
      <w:r>
        <w:rPr/>
        <w:t xml:space="preserve">Для узла i: длительность dᵢ; ранние начало ESᵢ и окончание EFᵢ; поздние начало LSᵢ и окончание LFᵢ; полный резерв TFᵢ. Для типовой связи FS с лагом L: </w:t>
      </w:r>
      <w:r>
        <w:rPr>
          <w:rFonts w:ascii="Consolas" w:hAnsi="Consolas"/>
          <w:sz w:val="18"/>
        </w:rPr>
        <w:t xml:space="preserve">ESⱼ ≥ ESᵢ + dᵢ + L</w:t>
      </w:r>
      <w:r>
        <w:rPr/>
        <w:t xml:space="preserve">. Для SS: </w:t>
      </w:r>
      <w:r>
        <w:rPr>
          <w:rFonts w:ascii="Consolas" w:hAnsi="Consolas"/>
          <w:sz w:val="18"/>
        </w:rPr>
        <w:t xml:space="preserve">ESⱼ ≥ ESᵢ + L</w:t>
      </w:r>
      <w:r>
        <w:rPr/>
        <w:t xml:space="preserve">. Для FF: </w:t>
      </w:r>
      <w:r>
        <w:rPr>
          <w:rFonts w:ascii="Consolas" w:hAnsi="Consolas"/>
          <w:sz w:val="18"/>
        </w:rPr>
        <w:t xml:space="preserve">ESⱼ ≥ ESᵢ + dᵢ + L − dⱼ</w:t>
      </w:r>
      <w:r>
        <w:rPr/>
        <w:t xml:space="preserve">. Для всех узлов действует нижняя граница старта графика.</w:t>
      </w:r>
    </w:p>
    <w:p>
      <w:pPr>
        <w:pStyle w:val="Normal"/>
      </w:pPr>
      <w:r>
        <w:rPr/>
        <w:t xml:space="preserve">Прямой проход вычисляет минимальные допустимые ES и EF по зависимостям; обратный — LS и LF. Для определения структурного критического пути конечная граница обратного прохода равна раннему завершению всей сети. </w:t>
      </w:r>
      <w:r>
        <w:rPr>
          <w:rFonts w:ascii="Consolas" w:hAnsi="Consolas"/>
          <w:sz w:val="18"/>
        </w:rPr>
        <w:t xml:space="preserve">TFᵢ = LSᵢ − ESᵢ</w:t>
      </w:r>
      <w:r>
        <w:rPr/>
        <w:t xml:space="preserve">. Узлы и связывающие их зависимости с нулевым полным резервом составляют критические пути; их может быть несколько.</w:t>
      </w:r>
    </w:p>
    <w:p>
      <w:pPr>
        <w:pStyle w:val="Normal"/>
      </w:pPr>
      <w:r>
        <w:rPr>
          <w:b/>
        </w:rPr>
        <w:t xml:space="preserve">FR-CPM-03.</w:t>
      </w:r>
      <w:r>
        <w:rPr/>
        <w:t xml:space="preserve"> Отдельно рассчитывается резерв относительно директивного окончания графика: обратный проход использует конец утверждённого срока. Отрицательный резерв означает невыполнимость срока при введённых длительностях и зависимостях, а не «ускорение» работы.</w:t>
      </w:r>
    </w:p>
    <w:p>
      <w:pPr>
        <w:pStyle w:val="Normal"/>
      </w:pPr>
      <w:r>
        <w:rPr>
          <w:b/>
        </w:rPr>
        <w:t xml:space="preserve">FR-CPM-04.</w:t>
      </w:r>
      <w:r>
        <w:rPr/>
        <w:t xml:space="preserve"> Введённые даты не превращаются все одновременно в жёсткие ограничения CPM: иначе сеть теряет смысл анализа резервов. Они задают длительности и фактическое расположение плана, которое сравнивается с ранними/поздними сроками. Осознанное ожидание описывается отдельным лагом или ограничением «не раньше». Такие ограничения видны пользователю и включаются в расчёт. Разница между сетевым расчётом и ручными датами показывается как ожидание или отклонение.</w:t>
      </w:r>
    </w:p>
    <w:p>
      <w:pPr>
        <w:pStyle w:val="Normal"/>
      </w:pPr>
      <w:r>
        <w:rPr>
          <w:b/>
        </w:rPr>
        <w:t xml:space="preserve">FR-CPM-05.</w:t>
      </w:r>
      <w:r>
        <w:rPr/>
        <w:t xml:space="preserve"> На Ганте подсвечиваются критические работы и связи, отдельно — отрицательный резерв и нарушения ручного расписания. Система не выдаёт любую просроченную работу за критическую.</w:t>
      </w:r>
    </w:p>
    <w:p>
      <w:pPr>
        <w:pStyle w:val="Normal"/>
      </w:pPr>
      <w:r>
        <w:rPr>
          <w:b/>
        </w:rPr>
        <w:t xml:space="preserve">FR-CPM-06.</w:t>
      </w:r>
      <w:r>
        <w:rPr/>
        <w:t xml:space="preserve"> При неполной или циклической модели выводится «Критический путь не рассчитан» с причинами. Пустой список критических работ не используется как признак отсутствия риска.</w:t>
      </w:r>
    </w:p>
    <w:p>
      <w:pPr>
        <w:pStyle w:val="Normal"/>
      </w:pPr>
      <w:r>
        <w:rPr>
          <w:b/>
        </w:rPr>
        <w:t xml:space="preserve">FR-CPM-07.</w:t>
      </w:r>
      <w:r>
        <w:rPr/>
        <w:t xml:space="preserve"> Для связанных графиков одного объекта доступен общий расчёт по действующим версиям. Внешняя зависимость при открытии отдельного графика отображается как входной или выходной узел. Несовместимые версии календарей блокируют общий расчёт до согласования календаря; локальные расчёты остаются доступны.</w:t>
      </w:r>
    </w:p>
    <w:p>
      <w:pPr>
        <w:pStyle w:val="Normal"/>
      </w:pPr>
      <w:r>
        <w:rPr>
          <w:b/>
        </w:rPr>
        <w:t xml:space="preserve">FR-CPM-08.</w:t>
      </w:r>
      <w:r>
        <w:rPr/>
        <w:t xml:space="preserve"> Базовый расчёт версии 1.0 анализирует утверждённый план. Факт даёт отклонения, но не пересчитывает оставшуюся длительность по формуле «длительность × оставшийся процент». Для сценария прогноза ГИП задаёт оставшиеся интервалы вручную; результат подписывается «Прогноз».</w:t>
      </w:r>
    </w:p>
    <w:p>
      <w:pPr>
        <w:pStyle w:val="Heading2"/>
      </w:pPr>
      <w:r>
        <w:rPr/>
        <w:t xml:space="preserve">8.4. Контрольный пример CPM</w:t>
      </w:r>
    </w:p>
    <w:p>
      <w:pPr>
        <w:pStyle w:val="Normal"/>
      </w:pPr>
      <w:r>
        <w:rPr/>
        <w:t xml:space="preserve">Используется тестовый календарь без праздников, дни обозначены D1, D2 и далее. Работа А — 3 дня. После неё параллельно Б — 5 дней и В — 2 дня. Работа Г — 2 дня, начинается после Б и В. Все связи FS, лаг 0.</w:t>
      </w:r>
    </w:p>
    <w:p>
      <w:pPr>
        <w:pStyle w:val="Normal"/>
      </w:pPr>
      <w:r>
        <w:rPr/>
        <w:t xml:space="preserve">Ожидается: А — D1–D3; Б — D4–D8; В — D4–D5; Г — D9–D10. Длина сети — 10 рабочих дней, критический путь А–Б–Г, резерв В — 3 рабочих дня. При директивном окончании D9 резерв критической цепочки относительно срока — минус 1 день. Ручные даты ни в одном из этих расчётов не изменяются.</w:t>
      </w:r>
    </w:p>
    <w:p>
      <w:pPr>
        <w:pStyle w:val="Heading1"/>
      </w:pPr>
      <w:bookmarkStart w:id="9" w:name="section_9"/>
      <w:r>
        <w:rPr/>
        <w:t xml:space="preserve">9. Фактическое выполнение и контроль отклонений</w:t>
      </w:r>
      <w:bookmarkEnd w:id="9"/>
    </w:p>
    <w:p>
      <w:pPr>
        <w:pStyle w:val="Heading2"/>
      </w:pPr>
      <w:r>
        <w:rPr/>
        <w:t xml:space="preserve">9.1. Ввод факта</w:t>
      </w:r>
    </w:p>
    <w:p>
      <w:pPr>
        <w:pStyle w:val="Normal"/>
      </w:pPr>
      <w:r>
        <w:rPr>
          <w:b/>
        </w:rPr>
        <w:t xml:space="preserve">FR-FACT-01.</w:t>
      </w:r>
      <w:r>
        <w:rPr/>
        <w:t xml:space="preserve"> По участию специальности координация вводит: дату состояния, фактическое начало, фактическое окончание, готовность 0–100%, причину задержки, комментарий и при необходимости прогноз окончания. Частота — по наступлении и завершении контрольных сроков; разрешено любое промежуточное обновление.</w:t>
      </w:r>
    </w:p>
    <w:p>
      <w:pPr>
        <w:pStyle w:val="Normal"/>
      </w:pPr>
      <w:r>
        <w:rPr>
          <w:b/>
        </w:rPr>
        <w:t xml:space="preserve">FR-FACT-02.</w:t>
      </w:r>
      <w:r>
        <w:rPr/>
        <w:t xml:space="preserve"> Готовность больше 0 требует фактического начала. Фактическое окончание требует 100%. Значение 100% требует даты окончания. Окончание не раньше начала. Фактические даты не могут быть позже текущей даты; будущие даты вводятся только как прогноз.</w:t>
      </w:r>
    </w:p>
    <w:p>
      <w:pPr>
        <w:pStyle w:val="Normal"/>
      </w:pPr>
      <w:r>
        <w:rPr/>
        <w:t xml:space="preserve">Дата состояния записи факта не может быть в будущем, а фактическое событие не может быть позже даты состояния. Поздний ввод сведений допускается: время регистрации будет позже даты состояния и останется в истории. Изменение состава специальностей в новой версии плана сохраняет устойчивые ID сохранившихся участий; новые участия не наследуют чужой факт, исключённые остаются в исторических срезах.</w:t>
      </w:r>
    </w:p>
    <w:p>
      <w:pPr>
        <w:pStyle w:val="Normal"/>
      </w:pPr>
      <w:r>
        <w:rPr>
          <w:b/>
        </w:rPr>
        <w:t xml:space="preserve">FR-FACT-03.</w:t>
      </w:r>
      <w:r>
        <w:rPr/>
        <w:t xml:space="preserve"> Снижение процента допускается для исправления ошибки или возврата на доработку с обязательной причиной. Повторное открытие завершённого графика выполняет координация с причиной; плановые сроки при этом не меняются.</w:t>
      </w:r>
    </w:p>
    <w:p>
      <w:pPr>
        <w:pStyle w:val="Normal"/>
      </w:pPr>
      <w:r>
        <w:rPr>
          <w:b/>
        </w:rPr>
        <w:t xml:space="preserve">FR-FACT-04.</w:t>
      </w:r>
      <w:r>
        <w:rPr/>
        <w:t xml:space="preserve"> Факт передачи — одна дата на конкретную передачу; при групповом источнике она означает готовность всех перечисленных обязательных отправителей. Если нужна раздельная выдача, передача разделяется на несколько записей в модели или редакции графика.</w:t>
      </w:r>
    </w:p>
    <w:p>
      <w:pPr>
        <w:pStyle w:val="Normal"/>
      </w:pPr>
      <w:r>
        <w:rPr>
          <w:b/>
        </w:rPr>
        <w:t xml:space="preserve">FR-FACT-05.</w:t>
      </w:r>
      <w:r>
        <w:rPr/>
        <w:t xml:space="preserve"> На детальном Ганте факт интервала отображается только при наличии записи факта именно этого интервала. Сводный процент специальности не размножается автоматически на все её интервалы.</w:t>
      </w:r>
    </w:p>
    <w:p>
      <w:pPr>
        <w:pStyle w:val="Normal"/>
      </w:pPr>
      <w:r>
        <w:rPr>
          <w:b/>
        </w:rPr>
        <w:t xml:space="preserve">FR-FACT-06.</w:t>
      </w:r>
      <w:r>
        <w:rPr/>
        <w:t xml:space="preserve"> Для массового контроля доступна таблица: график, специальность, отдел, плановые даты, факт, процент, причина, дата состояния. Сохранение показывает изменённые строки и конфликты параллельного редактирования.</w:t>
      </w:r>
    </w:p>
    <w:p>
      <w:pPr>
        <w:pStyle w:val="Heading2"/>
      </w:pPr>
      <w:r>
        <w:rPr/>
        <w:t xml:space="preserve">9.2. Готовность графика</w:t>
      </w:r>
    </w:p>
    <w:p>
      <w:pPr>
        <w:pStyle w:val="Normal"/>
      </w:pPr>
      <w:r>
        <w:rPr/>
        <w:t xml:space="preserve">При положительной общей стоимости базовая готовность — взвешенная по стоимости участвующих специальностей: </w:t>
      </w:r>
      <w:r>
        <w:rPr>
          <w:rFonts w:ascii="Consolas" w:hAnsi="Consolas"/>
          <w:sz w:val="18"/>
        </w:rPr>
        <w:t xml:space="preserve">P = Σ(Cᵢ × Pᵢ) / ΣCᵢ</w:t>
      </w:r>
      <w:r>
        <w:rPr/>
        <w:t xml:space="preserve">. Pᵢ задаётся в процентах. Нулевая стоимость не исключает обязательность работы.</w:t>
      </w:r>
    </w:p>
    <w:p>
      <w:pPr>
        <w:pStyle w:val="Normal"/>
      </w:pPr>
      <w:r>
        <w:rPr/>
        <w:t xml:space="preserve">Если весь график имеет нулевую стоимость, веса равны длительностям участий по объединению их рабочих интервалов; если и эти длительности нулевые — используются равные веса. Метод агрегации явно подписан в отчёте.</w:t>
      </w:r>
    </w:p>
    <w:p>
      <w:pPr>
        <w:pStyle w:val="Normal"/>
      </w:pPr>
      <w:r>
        <w:rPr/>
        <w:t xml:space="preserve">График получает 100% и статус «Завершён» только при 100% всех обязательных участий и факте всех обязательных передач. До этого итоговое отображение ограничивается 99,9%, даже если взвешенное значение округлилось до 100%. При отсутствии факта хотя бы одной строки итог помечается «данные неполные»; неизвестное значение не подменяется доказанным нулём. Для предварительной оценки допускается нижняя граница с неизвестными значениями, принятыми за 0, с явной подписью.</w:t>
      </w:r>
    </w:p>
    <w:p>
      <w:pPr>
        <w:pStyle w:val="Normal"/>
      </w:pPr>
      <w:r>
        <w:rPr/>
        <w:t xml:space="preserve">Плановая готовность на дату рассчитывается равномерно по активным рабочим дням интервалов специальности, затем агрегируется теми же весами. Это условная линейная оценка для сравнения, а не норматив технологии и не бухгалтерское освоение.</w:t>
      </w:r>
    </w:p>
    <w:p>
      <w:pPr>
        <w:pStyle w:val="Heading2"/>
      </w:pPr>
      <w:r>
        <w:rPr/>
        <w:t xml:space="preserve">9.3. Просрочки, актуальность и причины</w:t>
      </w:r>
    </w:p>
    <w:p>
      <w:pPr>
        <w:pStyle w:val="Normal"/>
      </w:pPr>
      <w:r>
        <w:rPr>
          <w:b/>
        </w:rPr>
        <w:t xml:space="preserve">FR-CTRL-01.</w:t>
      </w:r>
      <w:r>
        <w:rPr/>
        <w:t xml:space="preserve"> Незавершённая работа считается просроченной на дату T, если её утверждённое окончание раньше T. При отчёте за день T контроль выполняется на конец дня; работа со сроком T помечается «срок сегодня» и становится просроченной со следующего дня.</w:t>
      </w:r>
    </w:p>
    <w:p>
      <w:pPr>
        <w:pStyle w:val="Normal"/>
      </w:pPr>
      <w:r>
        <w:rPr>
          <w:b/>
        </w:rPr>
        <w:t xml:space="preserve">FR-CTRL-02.</w:t>
      </w:r>
      <w:r>
        <w:rPr/>
        <w:t xml:space="preserve"> Просрочка в рабочих днях — число рабочих дней после планового окончания до T включительно, либо до фактического окончания для завершённой работы. Возможна календарная просрочка с 0 истёкших рабочих дней, например на выходных; это отображается явно.</w:t>
      </w:r>
    </w:p>
    <w:p>
      <w:pPr>
        <w:pStyle w:val="Normal"/>
      </w:pPr>
      <w:r>
        <w:rPr>
          <w:b/>
        </w:rPr>
        <w:t xml:space="preserve">FR-CTRL-03.</w:t>
      </w:r>
      <w:r>
        <w:rPr/>
        <w:t xml:space="preserve"> Причина обязательна при сохранении сведений о задержке или заявки продления. Если срок истёк без обновления, система сама выявляет просрочку и показывает «Причина не указана», не блокируя отчёт.</w:t>
      </w:r>
    </w:p>
    <w:p>
      <w:pPr>
        <w:pStyle w:val="Normal"/>
      </w:pPr>
      <w:r>
        <w:rPr>
          <w:b/>
        </w:rPr>
        <w:t xml:space="preserve">FR-CTRL-04.</w:t>
      </w:r>
      <w:r>
        <w:rPr/>
        <w:t xml:space="preserve"> Справочник причин: нет исходных данных; задержка смежной специальности; изменение задания; замечания заказчика; нехватка ресурсов; внешнее согласование; исправление ошибки; другое. Для «другое» обязательно пояснение.</w:t>
      </w:r>
    </w:p>
    <w:p>
      <w:pPr>
        <w:pStyle w:val="Normal"/>
      </w:pPr>
      <w:r>
        <w:rPr>
          <w:b/>
        </w:rPr>
        <w:t xml:space="preserve">FR-CTRL-05.</w:t>
      </w:r>
      <w:r>
        <w:rPr/>
        <w:t xml:space="preserve"> Каждое наступившее контрольное событие требует нового факта либо отметки «без изменений». Через 2 рабочих дня без такой записи график получает признак «Требует актуализации». Этот признак существует одновременно с просрочкой и не доказывает отсутствие выполнения.</w:t>
      </w:r>
    </w:p>
    <w:p>
      <w:pPr>
        <w:pStyle w:val="Heading1"/>
      </w:pPr>
      <w:bookmarkStart w:id="10" w:name="section_10"/>
      <w:r>
        <w:rPr/>
        <w:t xml:space="preserve">10. Стоимость и загрузка</w:t>
      </w:r>
      <w:bookmarkEnd w:id="10"/>
    </w:p>
    <w:p>
      <w:pPr>
        <w:pStyle w:val="Heading2"/>
      </w:pPr>
      <w:r>
        <w:rPr/>
        <w:t xml:space="preserve">10.1. Денежные показатели</w:t>
      </w:r>
    </w:p>
    <w:p>
      <w:pPr>
        <w:pStyle w:val="Normal"/>
      </w:pPr>
      <w:r>
        <w:rPr>
          <w:b/>
        </w:rPr>
        <w:t xml:space="preserve">FR-COST-01.</w:t>
      </w:r>
      <w:r>
        <w:rPr/>
        <w:t xml:space="preserve"> ГИП вручную задаёт общую стоимость графика и сумму каждого участия специальности. При отправке на утверждение сумма строк должна точно совпасть с общей суммой с точностью хранения 0,01 UZS. Расхождение показывается отдельно, автоматически не распределяется.</w:t>
      </w:r>
    </w:p>
    <w:p>
      <w:pPr>
        <w:pStyle w:val="Normal"/>
      </w:pPr>
      <w:r>
        <w:rPr>
          <w:b/>
        </w:rPr>
        <w:t xml:space="preserve">FR-COST-02.</w:t>
      </w:r>
      <w:r>
        <w:rPr/>
        <w:t xml:space="preserve"> Значения хранятся как десятичные числа; вычисления с двоичной плавающей точкой для денежных итогов не допускаются. Округление выполняется в конце расчёта; округлённые распределения сохраняют итог через остаток последней доли.</w:t>
      </w:r>
    </w:p>
    <w:p>
      <w:pPr>
        <w:pStyle w:val="Normal"/>
      </w:pPr>
      <w:r>
        <w:rPr>
          <w:b/>
        </w:rPr>
        <w:t xml:space="preserve">FR-COST-03.</w:t>
      </w:r>
      <w:r>
        <w:rPr/>
        <w:t xml:space="preserve"> Поля «условно выполнено в суммах» и «остаток» рассчитываются как </w:t>
      </w:r>
      <w:r>
        <w:rPr>
          <w:rFonts w:ascii="Consolas" w:hAnsi="Consolas"/>
          <w:sz w:val="18"/>
        </w:rPr>
        <w:t xml:space="preserve">Cᵢ × Pᵢ / 100</w:t>
      </w:r>
      <w:r>
        <w:rPr/>
        <w:t xml:space="preserve"> и разность с плановой стоимостью. Они не являются оплатой, выручкой, фактическими затратами или подтверждёнными актами. В интерфейсе и Excel используется полная подпись показателя.</w:t>
      </w:r>
    </w:p>
    <w:p>
      <w:pPr>
        <w:pStyle w:val="Normal"/>
      </w:pPr>
      <w:r>
        <w:rPr>
          <w:b/>
        </w:rPr>
        <w:t xml:space="preserve">FR-COST-04.</w:t>
      </w:r>
      <w:r>
        <w:rPr/>
        <w:t xml:space="preserve"> НДС в первой версии не рассчитывается. Вводится управленческая стоимость в едином принятом организацией основании; перед массовым импортом это основание записывается в настройках набора данных. Суммы с разными основаниями нельзя смешивать без явного преобразования.</w:t>
      </w:r>
    </w:p>
    <w:p>
      <w:pPr>
        <w:pStyle w:val="Normal"/>
      </w:pPr>
      <w:r>
        <w:rPr>
          <w:b/>
        </w:rPr>
        <w:t xml:space="preserve">FR-COST-05.</w:t>
      </w:r>
      <w:r>
        <w:rPr/>
        <w:t xml:space="preserve"> При смене стоимости новая утверждённая версия задаёт новые веса агрегированной готовности. Отчёт показывает изменение стоимости; исторический снимок сохраняет прежние веса и результат.</w:t>
      </w:r>
    </w:p>
    <w:p>
      <w:pPr>
        <w:pStyle w:val="Heading2"/>
      </w:pPr>
      <w:r>
        <w:rPr/>
        <w:t xml:space="preserve">10.2. Загрузка по специальностям и отделам</w:t>
      </w:r>
    </w:p>
    <w:p>
      <w:pPr>
        <w:pStyle w:val="Normal"/>
      </w:pPr>
      <w:r>
        <w:rPr>
          <w:b/>
        </w:rPr>
        <w:t xml:space="preserve">FR-LOAD-01.</w:t>
      </w:r>
      <w:r>
        <w:rPr/>
        <w:t xml:space="preserve"> На выбранный день, неделю или месяц система показывает число графиков с активными рабочими интервалами специальности, число работ, плановую стоимость в периоде и просроченные незавершённые участия. При нескольких интервалах одного графика он учитывается в счётчике графиков один раз.</w:t>
      </w:r>
    </w:p>
    <w:p>
      <w:pPr>
        <w:pStyle w:val="Normal"/>
      </w:pPr>
      <w:r>
        <w:rPr>
          <w:b/>
        </w:rPr>
        <w:t xml:space="preserve">FR-LOAD-02.</w:t>
      </w:r>
      <w:r>
        <w:rPr/>
        <w:t xml:space="preserve"> Плановая стоимость участия распределяется равномерно по уникальным рабочим дням объединения его интервалов. Для периода R: </w:t>
      </w:r>
      <w:r>
        <w:rPr>
          <w:rFonts w:ascii="Consolas" w:hAnsi="Consolas"/>
          <w:sz w:val="18"/>
        </w:rPr>
        <w:t xml:space="preserve">нагрузка в UZS = C × число активных дней в R / число активных дней всего</w:t>
      </w:r>
      <w:r>
        <w:rPr/>
        <w:t xml:space="preserve">. Перекрывающиеся интервалы не удваивают дневную долю.</w:t>
      </w:r>
    </w:p>
    <w:p>
      <w:pPr>
        <w:pStyle w:val="Normal"/>
      </w:pPr>
      <w:r>
        <w:rPr>
          <w:b/>
        </w:rPr>
        <w:t xml:space="preserve">FR-LOAD-03.</w:t>
      </w:r>
      <w:r>
        <w:rPr/>
        <w:t xml:space="preserve"> Если участие состоит только из событий нулевой длительности, его сумма относится на дату последнего обязательного события. Правило подписывается в детализации.</w:t>
      </w:r>
    </w:p>
    <w:p>
      <w:pPr>
        <w:pStyle w:val="Normal"/>
      </w:pPr>
      <w:r>
        <w:rPr>
          <w:b/>
        </w:rPr>
        <w:t xml:space="preserve">FR-LOAD-04.</w:t>
      </w:r>
      <w:r>
        <w:rPr/>
        <w:t xml:space="preserve"> Отдельно показываются плановая загрузка по датам и незавершённые обязательства по факту. Просроченная работа не продлевает плановую полосу автоматически. Для будущей ожидаемой загрузки используется отдельный слой ручного прогноза.</w:t>
      </w:r>
    </w:p>
    <w:p>
      <w:pPr>
        <w:pStyle w:val="Normal"/>
      </w:pPr>
      <w:r>
        <w:rPr>
          <w:b/>
        </w:rPr>
        <w:t xml:space="preserve">FR-LOAD-05.</w:t>
      </w:r>
      <w:r>
        <w:rPr/>
        <w:t xml:space="preserve"> Первая версия не показывает «120% загрузки» или «дефицит N человек», поскольку нет подтверждённых норм трудозатрат и мощности. Тепловая карта окрашивает относительную интенсивность по выбранному показателю с числовой легендой, а не нормативную перегрузку.</w:t>
      </w:r>
    </w:p>
    <w:p>
      <w:pPr>
        <w:pStyle w:val="Heading1"/>
      </w:pPr>
      <w:bookmarkStart w:id="11" w:name="section_11"/>
      <w:r>
        <w:rPr/>
        <w:t xml:space="preserve">11. Отчёты и исторические срезы</w:t>
      </w:r>
      <w:bookmarkEnd w:id="11"/>
    </w:p>
    <w:p>
      <w:pPr>
        <w:pStyle w:val="Heading2"/>
      </w:pPr>
      <w:r>
        <w:rPr/>
        <w:t xml:space="preserve">11.1. Дата состояния и момент знания</w:t>
      </w:r>
    </w:p>
    <w:p>
      <w:pPr>
        <w:pStyle w:val="Normal"/>
      </w:pPr>
      <w:r>
        <w:rPr/>
        <w:t xml:space="preserve">Каждая запись факта имеет </w:t>
      </w:r>
      <w:r>
        <w:rPr>
          <w:rFonts w:ascii="Consolas" w:hAnsi="Consolas"/>
          <w:sz w:val="18"/>
        </w:rPr>
        <w:t xml:space="preserve">effective_date</w:t>
      </w:r>
      <w:r>
        <w:rPr/>
        <w:t xml:space="preserve"> — дату, к которой относится состояние, и </w:t>
      </w:r>
      <w:r>
        <w:rPr>
          <w:rFonts w:ascii="Consolas" w:hAnsi="Consolas"/>
          <w:sz w:val="18"/>
        </w:rPr>
        <w:t xml:space="preserve">recorded_at</w:t>
      </w:r>
      <w:r>
        <w:rPr/>
        <w:t xml:space="preserve"> — момент ввода в систему. Версии планов имеют время утверждения; изменение плана не применяется до него.</w:t>
      </w:r>
    </w:p>
    <w:p>
      <w:pPr>
        <w:pStyle w:val="Normal"/>
      </w:pPr>
      <w:r>
        <w:rPr/>
        <w:t xml:space="preserve">Доступны два режима:</w:t>
      </w:r>
    </w:p>
    <w:p>
      <w:pPr>
        <w:pStyle w:val="ListParagraph"/>
      </w:pPr>
      <w:r>
        <w:rPr/>
        <w:t xml:space="preserve">1. </w:t>
      </w:r>
      <w:r>
        <w:rPr>
          <w:b/>
        </w:rPr>
        <w:t xml:space="preserve">«Уточнённое состояние на дату T»</w:t>
      </w:r>
      <w:r>
        <w:rPr/>
        <w:t xml:space="preserve"> — факт, относящийся к T или более ранней дате, с учётом исправлений, известных сейчас. План выбирается из версий, действовавших на T.</w:t>
      </w:r>
    </w:p>
    <w:p>
      <w:pPr>
        <w:pStyle w:val="ListParagraph"/>
      </w:pPr>
      <w:r>
        <w:rPr/>
        <w:t xml:space="preserve">2. </w:t>
      </w:r>
      <w:r>
        <w:rPr>
          <w:b/>
        </w:rPr>
        <w:t xml:space="preserve">«Как было известно на дату K»</w:t>
      </w:r>
      <w:r>
        <w:rPr/>
        <w:t xml:space="preserve"> — состояние на T только по данным, зарегистрированным не позже K; план также должен быть утверждён не позже T и K. По умолчанию при воспроизведении прошлой планёрки T и K относятся к одной дате.</w:t>
      </w:r>
    </w:p>
    <w:p>
      <w:pPr>
        <w:pStyle w:val="Normal"/>
      </w:pPr>
      <w:r>
        <w:rPr/>
        <w:t xml:space="preserve">Для будущей даты показывается действующий план, известный факт до сегодняшнего дня и отдельно ручной прогноз. Будущая готовность не выдаётся за факт. Процент на прошлую дату берётся из последней применимой записи, без интерполяции между обновлениями.</w:t>
      </w:r>
    </w:p>
    <w:p>
      <w:pPr>
        <w:pStyle w:val="Normal"/>
      </w:pPr>
      <w:r>
        <w:rPr/>
        <w:t xml:space="preserve">Пример: завершение 12 июня внесли 15 июня. Уточнённый отчёт за 13 июня покажет завершение; отчёт «как было известно 13 июня» его не покажет. Первоначальный сохранённый отчёт за 13 июня останется неизменным.</w:t>
      </w:r>
    </w:p>
    <w:p>
      <w:pPr>
        <w:pStyle w:val="Normal"/>
      </w:pPr>
      <w:r>
        <w:rPr/>
        <w:t xml:space="preserve">Для импорта без истории устанавливается дата начала достоверной истории. Более ранние периоды помечаются «История не загружена»; нельзя реконструировать прошлые проценты из сегодняшнего значения.</w:t>
      </w:r>
    </w:p>
    <w:p>
      <w:pPr>
        <w:pStyle w:val="Heading2"/>
      </w:pPr>
      <w:r>
        <w:rPr/>
        <w:t xml:space="preserve">11.2. Каталог отчётов P0</w:t>
      </w:r>
    </w:p>
    <w:tbl>
      <w:tblPr>
        <w:tblW w:w="9500" w:type="dxa"/>
        <w:tblLayout w:type="fixed"/>
        <w:tblBorders>
          <w:top w:val="single" w:sz="4" w:color="CBD6DF"/>
          <w:left w:val="single" w:sz="4" w:color="CBD6DF"/>
          <w:bottom w:val="single" w:sz="4" w:color="CBD6DF"/>
          <w:right w:val="single" w:sz="4" w:color="CBD6DF"/>
          <w:insideH w:val="single" w:sz="4" w:color="CBD6DF"/>
          <w:insideV w:val="single" w:sz="4" w:color="CBD6DF"/>
        </w:tblBorders>
        <w:tblCellMar>
          <w:top w:w="70" w:type="dxa"/>
          <w:bottom w:w="70" w:type="dxa"/>
          <w:left w:w="85" w:type="dxa"/>
          <w:right w:w="85" w:type="dxa"/>
        </w:tblCellMar>
      </w:tblPr>
      <w:tblGrid>
        <w:gridCol w:w="1170"/>
        <w:gridCol w:w="2705"/>
        <w:gridCol w:w="5625"/>
      </w:tblGrid>
      <w:tr>
        <w:trPr>
          <w:cantSplit/>
          <w:tblHeader/>
        </w:trPr>
        <w:tc>
          <w:tcPr>
            <w:tcW w:w="1170" w:type="dxa"/>
            <w:vAlign w:val="top"/>
            <w:shd w:fill="E7F0F5"/>
          </w:tcPr>
          <w:p>
            <w:pPr>
              <w:pStyle w:val="TableHeader"/>
            </w:pPr>
            <w:r>
              <w:rPr/>
              <w:t xml:space="preserve">ID</w:t>
            </w:r>
          </w:p>
        </w:tc>
        <w:tc>
          <w:tcPr>
            <w:tcW w:w="2705" w:type="dxa"/>
            <w:vAlign w:val="top"/>
            <w:shd w:fill="E7F0F5"/>
          </w:tcPr>
          <w:p>
            <w:pPr>
              <w:pStyle w:val="TableHeader"/>
            </w:pPr>
            <w:r>
              <w:rPr/>
              <w:t xml:space="preserve">Отчёт</w:t>
            </w:r>
          </w:p>
        </w:tc>
        <w:tc>
          <w:tcPr>
            <w:tcW w:w="5625" w:type="dxa"/>
            <w:vAlign w:val="top"/>
            <w:shd w:fill="E7F0F5"/>
          </w:tcPr>
          <w:p>
            <w:pPr>
              <w:pStyle w:val="TableHeader"/>
            </w:pPr>
            <w:r>
              <w:rPr/>
              <w:t xml:space="preserve">Основные поля и показатели</w:t>
            </w:r>
          </w:p>
        </w:tc>
      </w:tr>
      <w:tr>
        <w:trPr>
          <w:cantSplit/>
        </w:trPr>
        <w:tc>
          <w:tcPr>
            <w:tcW w:w="1170" w:type="dxa"/>
            <w:vAlign w:val="top"/>
          </w:tcPr>
          <w:p>
            <w:pPr>
              <w:pStyle w:val="TableText"/>
            </w:pPr>
            <w:r>
              <w:rPr/>
              <w:t xml:space="preserve">R-01</w:t>
            </w:r>
          </w:p>
        </w:tc>
        <w:tc>
          <w:tcPr>
            <w:tcW w:w="2705" w:type="dxa"/>
            <w:vAlign w:val="top"/>
          </w:tcPr>
          <w:p>
            <w:pPr>
              <w:pStyle w:val="TableText"/>
            </w:pPr>
            <w:r>
              <w:rPr/>
              <w:t xml:space="preserve">Портфель графиков на дату</w:t>
            </w:r>
          </w:p>
        </w:tc>
        <w:tc>
          <w:tcPr>
            <w:tcW w:w="5625" w:type="dxa"/>
            <w:vAlign w:val="top"/>
          </w:tcPr>
          <w:p>
            <w:pPr>
              <w:pStyle w:val="TableText"/>
            </w:pPr>
            <w:r>
              <w:rPr/>
              <w:t xml:space="preserve">Объект, стадия, этап, номер, вид работ, ГИП, модели, даты, статус, готовность, стоимость, просрочка, актуальность</w:t>
            </w:r>
          </w:p>
        </w:tc>
      </w:tr>
      <w:tr>
        <w:trPr>
          <w:cantSplit/>
        </w:trPr>
        <w:tc>
          <w:tcPr>
            <w:tcW w:w="1170" w:type="dxa"/>
            <w:vAlign w:val="top"/>
            <w:shd w:fill="F7FAFC"/>
          </w:tcPr>
          <w:p>
            <w:pPr>
              <w:pStyle w:val="TableText"/>
            </w:pPr>
            <w:r>
              <w:rPr/>
              <w:t xml:space="preserve">R-02</w:t>
            </w:r>
          </w:p>
        </w:tc>
        <w:tc>
          <w:tcPr>
            <w:tcW w:w="2705" w:type="dxa"/>
            <w:vAlign w:val="top"/>
            <w:shd w:fill="F7FAFC"/>
          </w:tcPr>
          <w:p>
            <w:pPr>
              <w:pStyle w:val="TableText"/>
            </w:pPr>
            <w:r>
              <w:rPr/>
              <w:t xml:space="preserve">Просроченные работы</w:t>
            </w:r>
          </w:p>
        </w:tc>
        <w:tc>
          <w:tcPr>
            <w:tcW w:w="5625" w:type="dxa"/>
            <w:vAlign w:val="top"/>
            <w:shd w:fill="F7FAFC"/>
          </w:tcPr>
          <w:p>
            <w:pPr>
              <w:pStyle w:val="TableText"/>
            </w:pPr>
            <w:r>
              <w:rPr/>
              <w:t xml:space="preserve">Специальность, отдел, начальник, авторы, исходный и действующий срок, факт/прогноз, рабочие дни задержки, причина</w:t>
            </w:r>
          </w:p>
        </w:tc>
      </w:tr>
      <w:tr>
        <w:trPr>
          <w:cantSplit/>
        </w:trPr>
        <w:tc>
          <w:tcPr>
            <w:tcW w:w="1170" w:type="dxa"/>
            <w:vAlign w:val="top"/>
          </w:tcPr>
          <w:p>
            <w:pPr>
              <w:pStyle w:val="TableText"/>
            </w:pPr>
            <w:r>
              <w:rPr/>
              <w:t xml:space="preserve">R-03</w:t>
            </w:r>
          </w:p>
        </w:tc>
        <w:tc>
          <w:tcPr>
            <w:tcW w:w="2705" w:type="dxa"/>
            <w:vAlign w:val="top"/>
          </w:tcPr>
          <w:p>
            <w:pPr>
              <w:pStyle w:val="TableText"/>
            </w:pPr>
            <w:r>
              <w:rPr/>
              <w:t xml:space="preserve">Передачи промежуточных заданий</w:t>
            </w:r>
          </w:p>
        </w:tc>
        <w:tc>
          <w:tcPr>
            <w:tcW w:w="5625" w:type="dxa"/>
            <w:vAlign w:val="top"/>
          </w:tcPr>
          <w:p>
            <w:pPr>
              <w:pStyle w:val="TableText"/>
            </w:pPr>
            <w:r>
              <w:rPr/>
              <w:t xml:space="preserve">Событие, кто выдаёт, кто получает, содержание, план, факт, просрочка, зависимые работы</w:t>
            </w:r>
          </w:p>
        </w:tc>
      </w:tr>
      <w:tr>
        <w:trPr>
          <w:cantSplit/>
        </w:trPr>
        <w:tc>
          <w:tcPr>
            <w:tcW w:w="1170" w:type="dxa"/>
            <w:vAlign w:val="top"/>
            <w:shd w:fill="F7FAFC"/>
          </w:tcPr>
          <w:p>
            <w:pPr>
              <w:pStyle w:val="TableText"/>
            </w:pPr>
            <w:r>
              <w:rPr/>
              <w:t xml:space="preserve">R-04</w:t>
            </w:r>
          </w:p>
        </w:tc>
        <w:tc>
          <w:tcPr>
            <w:tcW w:w="2705" w:type="dxa"/>
            <w:vAlign w:val="top"/>
            <w:shd w:fill="F7FAFC"/>
          </w:tcPr>
          <w:p>
            <w:pPr>
              <w:pStyle w:val="TableText"/>
            </w:pPr>
            <w:r>
              <w:rPr/>
              <w:t xml:space="preserve">Ближайшие контрольные сроки</w:t>
            </w:r>
          </w:p>
        </w:tc>
        <w:tc>
          <w:tcPr>
            <w:tcW w:w="5625" w:type="dxa"/>
            <w:vAlign w:val="top"/>
            <w:shd w:fill="F7FAFC"/>
          </w:tcPr>
          <w:p>
            <w:pPr>
              <w:pStyle w:val="TableText"/>
            </w:pPr>
            <w:r>
              <w:rPr/>
              <w:t xml:space="preserve">События и окончания на 7/14/30 календарных дней либо произвольный период, ответственные и актуальность</w:t>
            </w:r>
          </w:p>
        </w:tc>
      </w:tr>
      <w:tr>
        <w:trPr>
          <w:cantSplit/>
        </w:trPr>
        <w:tc>
          <w:tcPr>
            <w:tcW w:w="1170" w:type="dxa"/>
            <w:vAlign w:val="top"/>
          </w:tcPr>
          <w:p>
            <w:pPr>
              <w:pStyle w:val="TableText"/>
            </w:pPr>
            <w:r>
              <w:rPr/>
              <w:t xml:space="preserve">R-05</w:t>
            </w:r>
          </w:p>
        </w:tc>
        <w:tc>
          <w:tcPr>
            <w:tcW w:w="2705" w:type="dxa"/>
            <w:vAlign w:val="top"/>
          </w:tcPr>
          <w:p>
            <w:pPr>
              <w:pStyle w:val="TableText"/>
            </w:pPr>
            <w:r>
              <w:rPr/>
              <w:t xml:space="preserve">Сравнение план/факт</w:t>
            </w:r>
          </w:p>
        </w:tc>
        <w:tc>
          <w:tcPr>
            <w:tcW w:w="5625" w:type="dxa"/>
            <w:vAlign w:val="top"/>
          </w:tcPr>
          <w:p>
            <w:pPr>
              <w:pStyle w:val="TableText"/>
            </w:pPr>
            <w:r>
              <w:rPr/>
              <w:t xml:space="preserve">Первоначальный план, действующий план, факт, прогноз, отклонения дат и готовности</w:t>
            </w:r>
          </w:p>
        </w:tc>
      </w:tr>
      <w:tr>
        <w:trPr>
          <w:cantSplit/>
        </w:trPr>
        <w:tc>
          <w:tcPr>
            <w:tcW w:w="1170" w:type="dxa"/>
            <w:vAlign w:val="top"/>
            <w:shd w:fill="F7FAFC"/>
          </w:tcPr>
          <w:p>
            <w:pPr>
              <w:pStyle w:val="TableText"/>
            </w:pPr>
            <w:r>
              <w:rPr/>
              <w:t xml:space="preserve">R-06</w:t>
            </w:r>
          </w:p>
        </w:tc>
        <w:tc>
          <w:tcPr>
            <w:tcW w:w="2705" w:type="dxa"/>
            <w:vAlign w:val="top"/>
            <w:shd w:fill="F7FAFC"/>
          </w:tcPr>
          <w:p>
            <w:pPr>
              <w:pStyle w:val="TableText"/>
            </w:pPr>
            <w:r>
              <w:rPr/>
              <w:t xml:space="preserve">Продления и изменения</w:t>
            </w:r>
          </w:p>
        </w:tc>
        <w:tc>
          <w:tcPr>
            <w:tcW w:w="5625" w:type="dxa"/>
            <w:vAlign w:val="top"/>
            <w:shd w:fill="F7FAFC"/>
          </w:tcPr>
          <w:p>
            <w:pPr>
              <w:pStyle w:val="TableText"/>
            </w:pPr>
            <w:r>
              <w:rPr/>
              <w:t xml:space="preserve">Версии, инициатор, причина, даты до/после, величина переноса, утверждающий, время решения</w:t>
            </w:r>
          </w:p>
        </w:tc>
      </w:tr>
      <w:tr>
        <w:trPr>
          <w:cantSplit/>
        </w:trPr>
        <w:tc>
          <w:tcPr>
            <w:tcW w:w="1170" w:type="dxa"/>
            <w:vAlign w:val="top"/>
          </w:tcPr>
          <w:p>
            <w:pPr>
              <w:pStyle w:val="TableText"/>
            </w:pPr>
            <w:r>
              <w:rPr/>
              <w:t xml:space="preserve">R-07</w:t>
            </w:r>
          </w:p>
        </w:tc>
        <w:tc>
          <w:tcPr>
            <w:tcW w:w="2705" w:type="dxa"/>
            <w:vAlign w:val="top"/>
          </w:tcPr>
          <w:p>
            <w:pPr>
              <w:pStyle w:val="TableText"/>
            </w:pPr>
            <w:r>
              <w:rPr/>
              <w:t xml:space="preserve">Загрузка специальностей</w:t>
            </w:r>
          </w:p>
        </w:tc>
        <w:tc>
          <w:tcPr>
            <w:tcW w:w="5625" w:type="dxa"/>
            <w:vAlign w:val="top"/>
          </w:tcPr>
          <w:p>
            <w:pPr>
              <w:pStyle w:val="TableText"/>
            </w:pPr>
            <w:r>
              <w:rPr/>
              <w:t xml:space="preserve">Число графиков, активные дни, плановая стоимость в периоде, незавершённые обязательства</w:t>
            </w:r>
          </w:p>
        </w:tc>
      </w:tr>
      <w:tr>
        <w:trPr>
          <w:cantSplit/>
        </w:trPr>
        <w:tc>
          <w:tcPr>
            <w:tcW w:w="1170" w:type="dxa"/>
            <w:vAlign w:val="top"/>
            <w:shd w:fill="F7FAFC"/>
          </w:tcPr>
          <w:p>
            <w:pPr>
              <w:pStyle w:val="TableText"/>
            </w:pPr>
            <w:r>
              <w:rPr/>
              <w:t xml:space="preserve">R-08</w:t>
            </w:r>
          </w:p>
        </w:tc>
        <w:tc>
          <w:tcPr>
            <w:tcW w:w="2705" w:type="dxa"/>
            <w:vAlign w:val="top"/>
            <w:shd w:fill="F7FAFC"/>
          </w:tcPr>
          <w:p>
            <w:pPr>
              <w:pStyle w:val="TableText"/>
            </w:pPr>
            <w:r>
              <w:rPr/>
              <w:t xml:space="preserve">Загрузка отделов</w:t>
            </w:r>
          </w:p>
        </w:tc>
        <w:tc>
          <w:tcPr>
            <w:tcW w:w="5625" w:type="dxa"/>
            <w:vAlign w:val="top"/>
            <w:shd w:fill="F7FAFC"/>
          </w:tcPr>
          <w:p>
            <w:pPr>
              <w:pStyle w:val="TableText"/>
            </w:pPr>
            <w:r>
              <w:rPr/>
              <w:t xml:space="preserve">Те же показатели по отделам с раскрытием специальностей и объектов</w:t>
            </w:r>
          </w:p>
        </w:tc>
      </w:tr>
      <w:tr>
        <w:trPr>
          <w:cantSplit/>
        </w:trPr>
        <w:tc>
          <w:tcPr>
            <w:tcW w:w="1170" w:type="dxa"/>
            <w:vAlign w:val="top"/>
          </w:tcPr>
          <w:p>
            <w:pPr>
              <w:pStyle w:val="TableText"/>
            </w:pPr>
            <w:r>
              <w:rPr/>
              <w:t xml:space="preserve">R-09</w:t>
            </w:r>
          </w:p>
        </w:tc>
        <w:tc>
          <w:tcPr>
            <w:tcW w:w="2705" w:type="dxa"/>
            <w:vAlign w:val="top"/>
          </w:tcPr>
          <w:p>
            <w:pPr>
              <w:pStyle w:val="TableText"/>
            </w:pPr>
            <w:r>
              <w:rPr/>
              <w:t xml:space="preserve">Стоимость и условное выполнение</w:t>
            </w:r>
          </w:p>
        </w:tc>
        <w:tc>
          <w:tcPr>
            <w:tcW w:w="5625" w:type="dxa"/>
            <w:vAlign w:val="top"/>
          </w:tcPr>
          <w:p>
            <w:pPr>
              <w:pStyle w:val="TableText"/>
            </w:pPr>
            <w:r>
              <w:rPr/>
              <w:t xml:space="preserve">Плановые суммы, условно выполнено по готовности, остаток, изменения бюджета; признак неполных данных</w:t>
            </w:r>
          </w:p>
        </w:tc>
      </w:tr>
      <w:tr>
        <w:trPr>
          <w:cantSplit/>
        </w:trPr>
        <w:tc>
          <w:tcPr>
            <w:tcW w:w="1170" w:type="dxa"/>
            <w:vAlign w:val="top"/>
            <w:shd w:fill="F7FAFC"/>
          </w:tcPr>
          <w:p>
            <w:pPr>
              <w:pStyle w:val="TableText"/>
            </w:pPr>
            <w:r>
              <w:rPr/>
              <w:t xml:space="preserve">R-10</w:t>
            </w:r>
          </w:p>
        </w:tc>
        <w:tc>
          <w:tcPr>
            <w:tcW w:w="2705" w:type="dxa"/>
            <w:vAlign w:val="top"/>
            <w:shd w:fill="F7FAFC"/>
          </w:tcPr>
          <w:p>
            <w:pPr>
              <w:pStyle w:val="TableText"/>
            </w:pPr>
            <w:r>
              <w:rPr/>
              <w:t xml:space="preserve">Критические работы</w:t>
            </w:r>
          </w:p>
        </w:tc>
        <w:tc>
          <w:tcPr>
            <w:tcW w:w="5625" w:type="dxa"/>
            <w:vAlign w:val="top"/>
            <w:shd w:fill="F7FAFC"/>
          </w:tcPr>
          <w:p>
            <w:pPr>
              <w:pStyle w:val="TableText"/>
            </w:pPr>
            <w:r>
              <w:rPr/>
              <w:t xml:space="preserve">График, цепочка, интервалы, полный резерв, резерв относительно срока, внешние зависимости</w:t>
            </w:r>
          </w:p>
        </w:tc>
      </w:tr>
      <w:tr>
        <w:trPr>
          <w:cantSplit/>
        </w:trPr>
        <w:tc>
          <w:tcPr>
            <w:tcW w:w="1170" w:type="dxa"/>
            <w:vAlign w:val="top"/>
          </w:tcPr>
          <w:p>
            <w:pPr>
              <w:pStyle w:val="TableText"/>
            </w:pPr>
            <w:r>
              <w:rPr/>
              <w:t xml:space="preserve">R-11</w:t>
            </w:r>
          </w:p>
        </w:tc>
        <w:tc>
          <w:tcPr>
            <w:tcW w:w="2705" w:type="dxa"/>
            <w:vAlign w:val="top"/>
          </w:tcPr>
          <w:p>
            <w:pPr>
              <w:pStyle w:val="TableText"/>
            </w:pPr>
            <w:r>
              <w:rPr/>
              <w:t xml:space="preserve">Качество данных</w:t>
            </w:r>
          </w:p>
        </w:tc>
        <w:tc>
          <w:tcPr>
            <w:tcW w:w="5625" w:type="dxa"/>
            <w:vAlign w:val="top"/>
          </w:tcPr>
          <w:p>
            <w:pPr>
              <w:pStyle w:val="TableText"/>
            </w:pPr>
            <w:r>
              <w:rPr/>
              <w:t xml:space="preserve">Нет факта, пропущены причины, неподготовленные модели, ошибки импорта, требуется актуализация</w:t>
            </w:r>
          </w:p>
        </w:tc>
      </w:tr>
      <w:tr>
        <w:trPr>
          <w:cantSplit/>
        </w:trPr>
        <w:tc>
          <w:tcPr>
            <w:tcW w:w="1170" w:type="dxa"/>
            <w:vAlign w:val="top"/>
            <w:shd w:fill="F7FAFC"/>
          </w:tcPr>
          <w:p>
            <w:pPr>
              <w:pStyle w:val="TableText"/>
            </w:pPr>
            <w:r>
              <w:rPr/>
              <w:t xml:space="preserve">R-12</w:t>
            </w:r>
          </w:p>
        </w:tc>
        <w:tc>
          <w:tcPr>
            <w:tcW w:w="2705" w:type="dxa"/>
            <w:vAlign w:val="top"/>
            <w:shd w:fill="F7FAFC"/>
          </w:tcPr>
          <w:p>
            <w:pPr>
              <w:pStyle w:val="TableText"/>
            </w:pPr>
            <w:r>
              <w:rPr/>
              <w:t xml:space="preserve">Пакет для планёрки</w:t>
            </w:r>
          </w:p>
        </w:tc>
        <w:tc>
          <w:tcPr>
            <w:tcW w:w="5625" w:type="dxa"/>
            <w:vAlign w:val="top"/>
            <w:shd w:fill="F7FAFC"/>
          </w:tcPr>
          <w:p>
            <w:pPr>
              <w:pStyle w:val="TableText"/>
            </w:pPr>
            <w:r>
              <w:rPr/>
              <w:t xml:space="preserve">Сводка портфеля, просрочки, критические работы, ближайшие выдачи, изменения и загрузка; отдельные листы Excel</w:t>
            </w:r>
          </w:p>
        </w:tc>
      </w:tr>
    </w:tbl>
    <w:p>
      <w:pPr>
        <w:pStyle w:val="TableAfter"/>
      </w:pPr>
    </w:p>
    <w:p>
      <w:pPr>
        <w:pStyle w:val="Heading2"/>
      </w:pPr>
      <w:r>
        <w:rPr/>
        <w:t xml:space="preserve">11.3. Общие требования</w:t>
      </w:r>
    </w:p>
    <w:p>
      <w:pPr>
        <w:pStyle w:val="Normal"/>
      </w:pPr>
      <w:r>
        <w:rPr>
          <w:b/>
        </w:rPr>
        <w:t xml:space="preserve">FR-REP-01.</w:t>
      </w:r>
      <w:r>
        <w:rPr/>
        <w:t xml:space="preserve"> Фильтры: объект/шифр, стадия, этап, график, модель, специальность, отдел, ГИП, автор, начальник, статус, просрочка, период и дата состояния. Доступны поиск, сортировка и сохранённые наборы фильтров.</w:t>
      </w:r>
    </w:p>
    <w:p>
      <w:pPr>
        <w:pStyle w:val="Normal"/>
      </w:pPr>
      <w:r>
        <w:rPr>
          <w:b/>
        </w:rPr>
        <w:t xml:space="preserve">FR-REP-02.</w:t>
      </w:r>
      <w:r>
        <w:rPr/>
        <w:t xml:space="preserve"> По умолчанию портфель включает утверждённые неотменённые графики. Завершённые, приостановленные, отменённые, архивные и черновики подключаются явными переключателями. Исторический статус определяется на дату среза.</w:t>
      </w:r>
    </w:p>
    <w:p>
      <w:pPr>
        <w:pStyle w:val="Normal"/>
      </w:pPr>
      <w:r>
        <w:rPr>
          <w:b/>
        </w:rPr>
        <w:t xml:space="preserve">FR-REP-03.</w:t>
      </w:r>
      <w:r>
        <w:rPr/>
        <w:t xml:space="preserve"> Число объектов, графиков, работ и передач — разные показатели. В общей сумме график учитывается один раз, независимо от числа специальностей, событий и моделей. Итоги соответствуют фильтрам и области доступа.</w:t>
      </w:r>
    </w:p>
    <w:p>
      <w:pPr>
        <w:pStyle w:val="Normal"/>
      </w:pPr>
      <w:r>
        <w:rPr>
          <w:b/>
        </w:rPr>
        <w:t xml:space="preserve">FR-REP-04.</w:t>
      </w:r>
      <w:r>
        <w:rPr/>
        <w:t xml:space="preserve"> Каждый отчёт показывает T, K, режим истории, время формирования, набор фильтров, валюту и масштаб, календарь, количество строк и долю неполных данных. Отчёт по нескольким календарям показывает перечень версий в служебном листе.</w:t>
      </w:r>
    </w:p>
    <w:p>
      <w:pPr>
        <w:pStyle w:val="Normal"/>
      </w:pPr>
      <w:r>
        <w:rPr>
          <w:b/>
        </w:rPr>
        <w:t xml:space="preserve">FR-REP-05.</w:t>
      </w:r>
      <w:r>
        <w:rPr/>
        <w:t xml:space="preserve"> Сохранение отчёта создаёт неизменяемый снимок с версией расчётных правил. Повторная выгрузка снимка не выполняет расчёт заново. Динамический отчёт и сохранённый снимок различаются в интерфейсе.</w:t>
      </w:r>
    </w:p>
    <w:p>
      <w:pPr>
        <w:pStyle w:val="Normal"/>
      </w:pPr>
      <w:r>
        <w:rPr>
          <w:b/>
        </w:rPr>
        <w:t xml:space="preserve">FR-REP-06.</w:t>
      </w:r>
      <w:r>
        <w:rPr/>
        <w:t xml:space="preserve"> «Всевозможные отчёты» для P0 означает указанный каталог, его фильтры и Excel-выгрузки. Неограниченный конструктор произвольных показателей не заявляется как готовая функция первой версии.</w:t>
      </w:r>
    </w:p>
    <w:p>
      <w:pPr>
        <w:pStyle w:val="Heading1"/>
      </w:pPr>
      <w:bookmarkStart w:id="12" w:name="section_12"/>
      <w:r>
        <w:rPr/>
        <w:t xml:space="preserve">12. Экраны и взаимодействие</w:t>
      </w:r>
      <w:bookmarkEnd w:id="12"/>
    </w:p>
    <w:tbl>
      <w:tblPr>
        <w:tblW w:w="9500" w:type="dxa"/>
        <w:tblLayout w:type="fixed"/>
        <w:tblBorders>
          <w:top w:val="single" w:sz="4" w:color="CBD6DF"/>
          <w:left w:val="single" w:sz="4" w:color="CBD6DF"/>
          <w:bottom w:val="single" w:sz="4" w:color="CBD6DF"/>
          <w:right w:val="single" w:sz="4" w:color="CBD6DF"/>
          <w:insideH w:val="single" w:sz="4" w:color="CBD6DF"/>
          <w:insideV w:val="single" w:sz="4" w:color="CBD6DF"/>
        </w:tblBorders>
        <w:tblCellMar>
          <w:top w:w="70" w:type="dxa"/>
          <w:bottom w:w="70" w:type="dxa"/>
          <w:left w:w="85" w:type="dxa"/>
          <w:right w:w="85" w:type="dxa"/>
        </w:tblCellMar>
      </w:tblPr>
      <w:tblGrid>
        <w:gridCol w:w="2185"/>
        <w:gridCol w:w="7315"/>
      </w:tblGrid>
      <w:tr>
        <w:trPr>
          <w:cantSplit/>
          <w:tblHeader/>
        </w:trPr>
        <w:tc>
          <w:tcPr>
            <w:tcW w:w="2185" w:type="dxa"/>
            <w:vAlign w:val="top"/>
            <w:shd w:fill="E7F0F5"/>
          </w:tcPr>
          <w:p>
            <w:pPr>
              <w:pStyle w:val="TableHeader"/>
            </w:pPr>
            <w:r>
              <w:rPr/>
              <w:t xml:space="preserve">Экран</w:t>
            </w:r>
          </w:p>
        </w:tc>
        <w:tc>
          <w:tcPr>
            <w:tcW w:w="7315" w:type="dxa"/>
            <w:vAlign w:val="top"/>
            <w:shd w:fill="E7F0F5"/>
          </w:tcPr>
          <w:p>
            <w:pPr>
              <w:pStyle w:val="TableHeader"/>
            </w:pPr>
            <w:r>
              <w:rPr/>
              <w:t xml:space="preserve">Содержание и основные действия</w:t>
            </w:r>
          </w:p>
        </w:tc>
      </w:tr>
      <w:tr>
        <w:trPr>
          <w:cantSplit/>
        </w:trPr>
        <w:tc>
          <w:tcPr>
            <w:tcW w:w="2185" w:type="dxa"/>
            <w:vAlign w:val="top"/>
          </w:tcPr>
          <w:p>
            <w:pPr>
              <w:pStyle w:val="TableText"/>
            </w:pPr>
            <w:r>
              <w:rPr/>
              <w:t xml:space="preserve">Обзор</w:t>
            </w:r>
          </w:p>
        </w:tc>
        <w:tc>
          <w:tcPr>
            <w:tcW w:w="7315" w:type="dxa"/>
            <w:vAlign w:val="top"/>
          </w:tcPr>
          <w:p>
            <w:pPr>
              <w:pStyle w:val="TableText"/>
            </w:pPr>
            <w:r>
              <w:rPr/>
              <w:t xml:space="preserve">Количество действующих графиков, просрочки, ближайшие события, критические работы, актуальность; переход к исходным строкам</w:t>
            </w:r>
          </w:p>
        </w:tc>
      </w:tr>
      <w:tr>
        <w:trPr>
          <w:cantSplit/>
        </w:trPr>
        <w:tc>
          <w:tcPr>
            <w:tcW w:w="2185" w:type="dxa"/>
            <w:vAlign w:val="top"/>
            <w:shd w:fill="F7FAFC"/>
          </w:tcPr>
          <w:p>
            <w:pPr>
              <w:pStyle w:val="TableText"/>
            </w:pPr>
            <w:r>
              <w:rPr/>
              <w:t xml:space="preserve">Объекты</w:t>
            </w:r>
          </w:p>
        </w:tc>
        <w:tc>
          <w:tcPr>
            <w:tcW w:w="7315" w:type="dxa"/>
            <w:vAlign w:val="top"/>
            <w:shd w:fill="F7FAFC"/>
          </w:tcPr>
          <w:p>
            <w:pPr>
              <w:pStyle w:val="TableText"/>
            </w:pPr>
            <w:r>
              <w:rPr/>
              <w:t xml:space="preserve">Поиск по шифру/названию, фильтры, карточка объекта и иерархия стадий/этапов</w:t>
            </w:r>
          </w:p>
        </w:tc>
      </w:tr>
      <w:tr>
        <w:trPr>
          <w:cantSplit/>
        </w:trPr>
        <w:tc>
          <w:tcPr>
            <w:tcW w:w="2185" w:type="dxa"/>
            <w:vAlign w:val="top"/>
          </w:tcPr>
          <w:p>
            <w:pPr>
              <w:pStyle w:val="TableText"/>
            </w:pPr>
            <w:r>
              <w:rPr/>
              <w:t xml:space="preserve">Реестр графиков</w:t>
            </w:r>
          </w:p>
        </w:tc>
        <w:tc>
          <w:tcPr>
            <w:tcW w:w="7315" w:type="dxa"/>
            <w:vAlign w:val="top"/>
          </w:tcPr>
          <w:p>
            <w:pPr>
              <w:pStyle w:val="TableText"/>
            </w:pPr>
            <w:r>
              <w:rPr/>
              <w:t xml:space="preserve">Таблица с постраничной загрузкой, сохранённые фильтры, массовая выгрузка и переход в график</w:t>
            </w:r>
          </w:p>
        </w:tc>
      </w:tr>
      <w:tr>
        <w:trPr>
          <w:cantSplit/>
        </w:trPr>
        <w:tc>
          <w:tcPr>
            <w:tcW w:w="2185" w:type="dxa"/>
            <w:vAlign w:val="top"/>
            <w:shd w:fill="F7FAFC"/>
          </w:tcPr>
          <w:p>
            <w:pPr>
              <w:pStyle w:val="TableText"/>
            </w:pPr>
            <w:r>
              <w:rPr/>
              <w:t xml:space="preserve">Карточка графика</w:t>
            </w:r>
          </w:p>
        </w:tc>
        <w:tc>
          <w:tcPr>
            <w:tcW w:w="7315" w:type="dxa"/>
            <w:vAlign w:val="top"/>
            <w:shd w:fill="F7FAFC"/>
          </w:tcPr>
          <w:p>
            <w:pPr>
              <w:pStyle w:val="TableText"/>
            </w:pPr>
            <w:r>
              <w:rPr/>
              <w:t xml:space="preserve">Паспорт, Гант, специальности и стоимость, передачи, факт, версии, согласования, история</w:t>
            </w:r>
          </w:p>
        </w:tc>
      </w:tr>
      <w:tr>
        <w:trPr>
          <w:cantSplit/>
        </w:trPr>
        <w:tc>
          <w:tcPr>
            <w:tcW w:w="2185" w:type="dxa"/>
            <w:vAlign w:val="top"/>
          </w:tcPr>
          <w:p>
            <w:pPr>
              <w:pStyle w:val="TableText"/>
            </w:pPr>
            <w:r>
              <w:rPr/>
              <w:t xml:space="preserve">Редактор графика</w:t>
            </w:r>
          </w:p>
        </w:tc>
        <w:tc>
          <w:tcPr>
            <w:tcW w:w="7315" w:type="dxa"/>
            <w:vAlign w:val="top"/>
          </w:tcPr>
          <w:p>
            <w:pPr>
              <w:pStyle w:val="TableText"/>
            </w:pPr>
            <w:r>
              <w:rPr/>
              <w:t xml:space="preserve">Последовательное заполнение паспорта, моделей, участников, сроков, стоимости и проверок</w:t>
            </w:r>
          </w:p>
        </w:tc>
      </w:tr>
      <w:tr>
        <w:trPr>
          <w:cantSplit/>
        </w:trPr>
        <w:tc>
          <w:tcPr>
            <w:tcW w:w="2185" w:type="dxa"/>
            <w:vAlign w:val="top"/>
            <w:shd w:fill="F7FAFC"/>
          </w:tcPr>
          <w:p>
            <w:pPr>
              <w:pStyle w:val="TableText"/>
            </w:pPr>
            <w:r>
              <w:rPr/>
              <w:t xml:space="preserve">Координация</w:t>
            </w:r>
          </w:p>
        </w:tc>
        <w:tc>
          <w:tcPr>
            <w:tcW w:w="7315" w:type="dxa"/>
            <w:vAlign w:val="top"/>
            <w:shd w:fill="F7FAFC"/>
          </w:tcPr>
          <w:p>
            <w:pPr>
              <w:pStyle w:val="TableText"/>
            </w:pPr>
            <w:r>
              <w:rPr/>
              <w:t xml:space="preserve">Таблица ввода факта, просроченные события, отсутствующие обновления</w:t>
            </w:r>
          </w:p>
        </w:tc>
      </w:tr>
      <w:tr>
        <w:trPr>
          <w:cantSplit/>
        </w:trPr>
        <w:tc>
          <w:tcPr>
            <w:tcW w:w="2185" w:type="dxa"/>
            <w:vAlign w:val="top"/>
          </w:tcPr>
          <w:p>
            <w:pPr>
              <w:pStyle w:val="TableText"/>
            </w:pPr>
            <w:r>
              <w:rPr/>
              <w:t xml:space="preserve">Согласование</w:t>
            </w:r>
          </w:p>
        </w:tc>
        <w:tc>
          <w:tcPr>
            <w:tcW w:w="7315" w:type="dxa"/>
            <w:vAlign w:val="top"/>
          </w:tcPr>
          <w:p>
            <w:pPr>
              <w:pStyle w:val="TableText"/>
            </w:pPr>
            <w:r>
              <w:rPr/>
              <w:t xml:space="preserve">Список назначенных версий, сравнение изменений, утверждение/возврат</w:t>
            </w:r>
          </w:p>
        </w:tc>
      </w:tr>
      <w:tr>
        <w:trPr>
          <w:cantSplit/>
        </w:trPr>
        <w:tc>
          <w:tcPr>
            <w:tcW w:w="2185" w:type="dxa"/>
            <w:vAlign w:val="top"/>
            <w:shd w:fill="F7FAFC"/>
          </w:tcPr>
          <w:p>
            <w:pPr>
              <w:pStyle w:val="TableText"/>
            </w:pPr>
            <w:r>
              <w:rPr/>
              <w:t xml:space="preserve">Загрузка</w:t>
            </w:r>
          </w:p>
        </w:tc>
        <w:tc>
          <w:tcPr>
            <w:tcW w:w="7315" w:type="dxa"/>
            <w:vAlign w:val="top"/>
            <w:shd w:fill="F7FAFC"/>
          </w:tcPr>
          <w:p>
            <w:pPr>
              <w:pStyle w:val="TableText"/>
            </w:pPr>
            <w:r>
              <w:rPr/>
              <w:t xml:space="preserve">Таблица и тепловая карта специальностей/отделов с раскрытием до графиков</w:t>
            </w:r>
          </w:p>
        </w:tc>
      </w:tr>
      <w:tr>
        <w:trPr>
          <w:cantSplit/>
        </w:trPr>
        <w:tc>
          <w:tcPr>
            <w:tcW w:w="2185" w:type="dxa"/>
            <w:vAlign w:val="top"/>
          </w:tcPr>
          <w:p>
            <w:pPr>
              <w:pStyle w:val="TableText"/>
            </w:pPr>
            <w:r>
              <w:rPr/>
              <w:t xml:space="preserve">Отчёты</w:t>
            </w:r>
          </w:p>
        </w:tc>
        <w:tc>
          <w:tcPr>
            <w:tcW w:w="7315" w:type="dxa"/>
            <w:vAlign w:val="top"/>
          </w:tcPr>
          <w:p>
            <w:pPr>
              <w:pStyle w:val="TableText"/>
            </w:pPr>
            <w:r>
              <w:rPr/>
              <w:t xml:space="preserve">Каталог, параметры, предварительный просмотр, снимки, Excel</w:t>
            </w:r>
          </w:p>
        </w:tc>
      </w:tr>
      <w:tr>
        <w:trPr>
          <w:cantSplit/>
        </w:trPr>
        <w:tc>
          <w:tcPr>
            <w:tcW w:w="2185" w:type="dxa"/>
            <w:vAlign w:val="top"/>
            <w:shd w:fill="F7FAFC"/>
          </w:tcPr>
          <w:p>
            <w:pPr>
              <w:pStyle w:val="TableText"/>
            </w:pPr>
            <w:r>
              <w:rPr/>
              <w:t xml:space="preserve">Справочники</w:t>
            </w:r>
          </w:p>
        </w:tc>
        <w:tc>
          <w:tcPr>
            <w:tcW w:w="7315" w:type="dxa"/>
            <w:vAlign w:val="top"/>
            <w:shd w:fill="F7FAFC"/>
          </w:tcPr>
          <w:p>
            <w:pPr>
              <w:pStyle w:val="TableText"/>
            </w:pPr>
            <w:r>
              <w:rPr/>
              <w:t xml:space="preserve">Модели, специальности, отделы, сотрудники, причины, календарь</w:t>
            </w:r>
          </w:p>
        </w:tc>
      </w:tr>
      <w:tr>
        <w:trPr>
          <w:cantSplit/>
        </w:trPr>
        <w:tc>
          <w:tcPr>
            <w:tcW w:w="2185" w:type="dxa"/>
            <w:vAlign w:val="top"/>
          </w:tcPr>
          <w:p>
            <w:pPr>
              <w:pStyle w:val="TableText"/>
            </w:pPr>
            <w:r>
              <w:rPr/>
              <w:t xml:space="preserve">Импорт и задания</w:t>
            </w:r>
          </w:p>
        </w:tc>
        <w:tc>
          <w:tcPr>
            <w:tcW w:w="7315" w:type="dxa"/>
            <w:vAlign w:val="top"/>
          </w:tcPr>
          <w:p>
            <w:pPr>
              <w:pStyle w:val="TableText"/>
            </w:pPr>
            <w:r>
              <w:rPr/>
              <w:t xml:space="preserve">Загрузка шаблона, предварительный разбор, ошибки, результат импорта, очередь выгрузок</w:t>
            </w:r>
          </w:p>
        </w:tc>
      </w:tr>
    </w:tbl>
    <w:p>
      <w:pPr>
        <w:pStyle w:val="TableAfter"/>
      </w:pPr>
    </w:p>
    <w:p>
      <w:pPr>
        <w:pStyle w:val="Normal"/>
      </w:pPr>
      <w:r>
        <w:rPr>
          <w:b/>
        </w:rPr>
        <w:t xml:space="preserve">FR-UI-01.</w:t>
      </w:r>
      <w:r>
        <w:rPr/>
        <w:t xml:space="preserve"> Гант имеет масштабы «день/неделя/месяц», сворачивание по графику, специальности и интервалам, линию выбранной даты, выходные и праздники, события, зависимости, критический путь и базовый план.</w:t>
      </w:r>
    </w:p>
    <w:p>
      <w:pPr>
        <w:pStyle w:val="Normal"/>
      </w:pPr>
      <w:r>
        <w:rPr>
          <w:b/>
        </w:rPr>
        <w:t xml:space="preserve">FR-UI-02.</w:t>
      </w:r>
      <w:r>
        <w:rPr/>
        <w:t xml:space="preserve"> При наведении или выборе элемента показываются содержание работы/передачи, даты, длительность, отдел, авторы, сумма, резерв и факт. Смысл статуса выражается текстом/значком, а не только цветом.</w:t>
      </w:r>
    </w:p>
    <w:p>
      <w:pPr>
        <w:pStyle w:val="Normal"/>
      </w:pPr>
      <w:r>
        <w:rPr>
          <w:b/>
        </w:rPr>
        <w:t xml:space="preserve">FR-UI-03.</w:t>
      </w:r>
      <w:r>
        <w:rPr/>
        <w:t xml:space="preserve"> Основной режим — настольный браузер от 1366×768. На узком экране доступны просмотр, фильтры и отчёты; сложное редактирование Ганта рассчитано на компьютер.</w:t>
      </w:r>
    </w:p>
    <w:p>
      <w:pPr>
        <w:pStyle w:val="Normal"/>
      </w:pPr>
      <w:r>
        <w:rPr>
          <w:b/>
        </w:rPr>
        <w:t xml:space="preserve">FR-UI-04.</w:t>
      </w:r>
      <w:r>
        <w:rPr/>
        <w:t xml:space="preserve"> Пустые состояния объясняют следующий шаг: «Нет модели», «Нет утверждённого плана», «Не введён факт». Ошибка расчёта не отображается как нулевой показатель.</w:t>
      </w:r>
    </w:p>
    <w:p>
      <w:pPr>
        <w:pStyle w:val="Normal"/>
      </w:pPr>
      <w:r>
        <w:rPr>
          <w:b/>
        </w:rPr>
        <w:t xml:space="preserve">FR-UI-05.</w:t>
      </w:r>
      <w:r>
        <w:rPr/>
        <w:t xml:space="preserve"> Несохранённые изменения защищаются предупреждением при выходе. При конфликте редактирования показывается новая версия и изменённые поля; молчаливое перезаписывание запрещено.</w:t>
      </w:r>
    </w:p>
    <w:p>
      <w:pPr>
        <w:pStyle w:val="Heading1"/>
      </w:pPr>
      <w:bookmarkStart w:id="13" w:name="section_13"/>
      <w:r>
        <w:rPr/>
        <w:t xml:space="preserve">13. Excel, печать и импорт</w:t>
      </w:r>
      <w:bookmarkEnd w:id="13"/>
    </w:p>
    <w:p>
      <w:pPr>
        <w:pStyle w:val="Heading2"/>
      </w:pPr>
      <w:r>
        <w:rPr/>
        <w:t xml:space="preserve">13.1. Экспорт графика</w:t>
      </w:r>
    </w:p>
    <w:p>
      <w:pPr>
        <w:pStyle w:val="Normal"/>
      </w:pPr>
      <w:r>
        <w:rPr>
          <w:b/>
        </w:rPr>
        <w:t xml:space="preserve">FR-XLS-01.</w:t>
      </w:r>
      <w:r>
        <w:rPr/>
        <w:t xml:space="preserve"> Выгрузка создаётся в XLSX. Лист «График А4» содержит шифр и наименование объекта, стадию, номер и наименование этапа, номер графика, вид работ, шифры и версии моделей, ФИО ГИПа, авторов по специальностям, названия отделов, начало/окончание, общую длительность в рабочих днях, стоимость, специальности и сроки промежуточных выдач.</w:t>
      </w:r>
    </w:p>
    <w:p>
      <w:pPr>
        <w:pStyle w:val="Normal"/>
      </w:pPr>
      <w:r>
        <w:rPr>
          <w:b/>
        </w:rPr>
        <w:t xml:space="preserve">FR-XLS-02.</w:t>
      </w:r>
      <w:r>
        <w:rPr/>
        <w:t xml:space="preserve"> Табличная часть сохраняет смысл предоставленного образца: строки специальностей, сумма, событийные колонки, даты и направления передач. Интерактивный Гант в приложении использует пропорциональную календарную шкалу. Для Excel дополнительно формируется лист «Гант» с календарной шкалой; эти представления не смешиваются.</w:t>
      </w:r>
    </w:p>
    <w:p>
      <w:pPr>
        <w:pStyle w:val="Normal"/>
      </w:pPr>
      <w:r>
        <w:rPr>
          <w:b/>
        </w:rPr>
        <w:t xml:space="preserve">FR-XLS-03.</w:t>
      </w:r>
      <w:r>
        <w:rPr/>
        <w:t xml:space="preserve"> Листы «Паспорт», «Специальности», «Интервалы», «Передачи», «Версии» и «Параметры» содержат полные данные, включая длинные наименования и содержание заданий. Сокращённая печатная форма ссылается на эти листы.</w:t>
      </w:r>
    </w:p>
    <w:p>
      <w:pPr>
        <w:pStyle w:val="Normal"/>
      </w:pPr>
      <w:r>
        <w:rPr>
          <w:b/>
        </w:rPr>
        <w:t xml:space="preserve">FR-XLS-04.</w:t>
      </w:r>
      <w:r>
        <w:rPr/>
        <w:t xml:space="preserve"> Типовой график печатается на одном А4 в альбомной ориентации с полями 10 мм и шрифтом не менее 8 pt. При превышении вместимости — продолжения А4 с повтором шапки, номера графика и нумерацией страниц. Пользователь заранее видит число листов. Ни одна обязательная строка не пропадает ради одного листа.</w:t>
      </w:r>
    </w:p>
    <w:p>
      <w:pPr>
        <w:pStyle w:val="Normal"/>
      </w:pPr>
      <w:r>
        <w:rPr>
          <w:b/>
        </w:rPr>
        <w:t xml:space="preserve">FR-XLS-05.</w:t>
      </w:r>
      <w:r>
        <w:rPr/>
        <w:t xml:space="preserve"> На форме указываются статус, версия, дата утверждения, утверждающий, дата среза факта и легенда. Неутверждённый график помечается «Черновик». Изображение подписи не подставляется автоматически.</w:t>
      </w:r>
    </w:p>
    <w:p>
      <w:pPr>
        <w:pStyle w:val="Normal"/>
      </w:pPr>
      <w:r>
        <w:rPr>
          <w:b/>
        </w:rPr>
        <w:t xml:space="preserve">FR-XLS-06.</w:t>
      </w:r>
      <w:r>
        <w:rPr/>
        <w:t xml:space="preserve"> Даты являются ячейками дат Excel, суммы — числами, шифры — строками. Идентификаторы </w:t>
      </w:r>
      <w:r>
        <w:rPr>
          <w:rFonts w:ascii="Consolas" w:hAnsi="Consolas"/>
          <w:sz w:val="18"/>
        </w:rPr>
        <w:t xml:space="preserve">062</w:t>
      </w:r>
      <w:r>
        <w:rPr/>
        <w:t xml:space="preserve"> и </w:t>
      </w:r>
      <w:r>
        <w:rPr>
          <w:rFonts w:ascii="Consolas" w:hAnsi="Consolas"/>
          <w:sz w:val="18"/>
        </w:rPr>
        <w:t xml:space="preserve">06-2</w:t>
      </w:r>
      <w:r>
        <w:rPr/>
        <w:t xml:space="preserve"> сохраняются буквально. Денежные форматы явно указывают «сум», «тыс. сум» либо «млн сум».</w:t>
      </w:r>
    </w:p>
    <w:p>
      <w:pPr>
        <w:pStyle w:val="Heading2"/>
      </w:pPr>
      <w:r>
        <w:rPr/>
        <w:t xml:space="preserve">13.2. Импорт</w:t>
      </w:r>
    </w:p>
    <w:p>
      <w:pPr>
        <w:pStyle w:val="Normal"/>
      </w:pPr>
      <w:r>
        <w:rPr>
          <w:b/>
        </w:rPr>
        <w:t xml:space="preserve">FR-IMP-01.</w:t>
      </w:r>
      <w:r>
        <w:rPr/>
        <w:t xml:space="preserve"> Импорт поддерживает опубликованный версионируемый шаблон XLSX с отдельными листами «Объекты», «Этапы», «Графики», «Участия», «Интервалы», «События», «Передачи», «Связи», «Факт». Для библиотеки моделей предусмотрен отдельный шаблон с теми же структурными принципами.</w:t>
      </w:r>
    </w:p>
    <w:p>
      <w:pPr>
        <w:pStyle w:val="Normal"/>
      </w:pPr>
      <w:r>
        <w:rPr/>
        <w:t xml:space="preserve">Для привязки сетевых моделей обязателен лист «Экземпляры моделей» с графиком, шифром и версией модели, ID экземпляра и перечнем исключений. Он позволяет однозначно различать несколько применений одной модели и не выводить их структуру из текстового названия.</w:t>
      </w:r>
    </w:p>
    <w:p>
      <w:pPr>
        <w:pStyle w:val="Normal"/>
      </w:pPr>
      <w:r>
        <w:rPr>
          <w:b/>
        </w:rPr>
        <w:t xml:space="preserve">FR-IMP-02.</w:t>
      </w:r>
      <w:r>
        <w:rPr/>
        <w:t xml:space="preserve"> Ключи связей — системный ID либо внешний ID внутри набора импорта. Отображаемое название не является ключом. Колонки со шифрами имеют текстовый формат. Неизвестные сотрудники, отделы и специальности не создаются незаметно.</w:t>
      </w:r>
    </w:p>
    <w:p>
      <w:pPr>
        <w:pStyle w:val="Normal"/>
      </w:pPr>
      <w:r>
        <w:rPr>
          <w:b/>
        </w:rPr>
        <w:t xml:space="preserve">FR-IMP-03.</w:t>
      </w:r>
      <w:r>
        <w:rPr/>
        <w:t xml:space="preserve"> Процесс: загрузка → проверка → предварительный просмотр добавлений/изменений → подтверждение пользователем → применение. Ошибки содержат лист, строку, колонку, значение и способ исправления; доступен Excel-протокол.</w:t>
      </w:r>
    </w:p>
    <w:p>
      <w:pPr>
        <w:pStyle w:val="Normal"/>
      </w:pPr>
      <w:r>
        <w:rPr>
          <w:b/>
        </w:rPr>
        <w:t xml:space="preserve">FR-IMP-04.</w:t>
      </w:r>
      <w:r>
        <w:rPr/>
        <w:t xml:space="preserve"> Повторный импорт того же набора с теми же ID и содержимым не создаёт дубликаты. Изменение утверждённого графика через импорт создаёт проект новой редакции, не обходя согласование. Факт загружает только координация.</w:t>
      </w:r>
    </w:p>
    <w:p>
      <w:pPr>
        <w:pStyle w:val="Normal"/>
      </w:pPr>
      <w:r>
        <w:rPr>
          <w:b/>
        </w:rPr>
        <w:t xml:space="preserve">FR-IMP-05.</w:t>
      </w:r>
      <w:r>
        <w:rPr/>
        <w:t xml:space="preserve"> Данные одного графика импортируются атомарно. При ошибке график целиком пропускается; импорт корректных независимых графиков допускается только при выборе режима частичного импорта. По умолчанию применяется весь пакет или ничего. Связанные графики обрабатываются в одной группе целостности.</w:t>
      </w:r>
    </w:p>
    <w:p>
      <w:pPr>
        <w:pStyle w:val="Normal"/>
      </w:pPr>
      <w:r>
        <w:rPr>
          <w:b/>
        </w:rPr>
        <w:t xml:space="preserve">FR-IMP-06.</w:t>
      </w:r>
      <w:r>
        <w:rPr/>
        <w:t xml:space="preserve"> Макросы не исполняются. Формулы в обязательных импортируемых значениях отклоняются с предложением сохранить значения; внешние ссылки не открываются. При экспорте пользовательские строки записываются как текст, чтобы </w:t>
      </w:r>
      <w:r>
        <w:rPr>
          <w:rFonts w:ascii="Consolas" w:hAnsi="Consolas"/>
          <w:sz w:val="18"/>
        </w:rPr>
        <w:t xml:space="preserve">=</w:t>
      </w:r>
      <w:r>
        <w:rPr/>
        <w:t xml:space="preserve">, </w:t>
      </w:r>
      <w:r>
        <w:rPr>
          <w:rFonts w:ascii="Consolas" w:hAnsi="Consolas"/>
          <w:sz w:val="18"/>
        </w:rPr>
        <w:t xml:space="preserve">+</w:t>
      </w:r>
      <w:r>
        <w:rPr/>
        <w:t xml:space="preserve">, </w:t>
      </w:r>
      <w:r>
        <w:rPr>
          <w:rFonts w:ascii="Consolas" w:hAnsi="Consolas"/>
          <w:sz w:val="18"/>
        </w:rPr>
        <w:t xml:space="preserve">-</w:t>
      </w:r>
      <w:r>
        <w:rPr/>
        <w:t xml:space="preserve">, </w:t>
      </w:r>
      <w:r>
        <w:rPr>
          <w:rFonts w:ascii="Consolas" w:hAnsi="Consolas"/>
          <w:sz w:val="18"/>
        </w:rPr>
        <w:t xml:space="preserve">@</w:t>
      </w:r>
      <w:r>
        <w:rPr/>
        <w:t xml:space="preserve"> не становились исполняемыми формулами.</w:t>
      </w:r>
    </w:p>
    <w:p>
      <w:pPr>
        <w:pStyle w:val="Normal"/>
      </w:pPr>
      <w:r>
        <w:rPr>
          <w:b/>
        </w:rPr>
        <w:t xml:space="preserve">FR-IMP-07.</w:t>
      </w:r>
      <w:r>
        <w:rPr/>
        <w:t xml:space="preserve"> Старые произвольные файлы не обещаются к безошибочному автоматическому распознаванию. Для них выполняется сопоставление с шаблоном и предварительная проверка. Растровый образец из DOCX не является импортируемой таблицей.</w:t>
      </w:r>
    </w:p>
    <w:p>
      <w:pPr>
        <w:pStyle w:val="Heading1"/>
      </w:pPr>
      <w:bookmarkStart w:id="14" w:name="section_14"/>
      <w:r>
        <w:rPr/>
        <w:t xml:space="preserve">14. Уведомления и журнал</w:t>
      </w:r>
      <w:bookmarkEnd w:id="14"/>
    </w:p>
    <w:p>
      <w:pPr>
        <w:pStyle w:val="Normal"/>
      </w:pPr>
      <w:r>
        <w:rPr>
          <w:b/>
        </w:rPr>
        <w:t xml:space="preserve">FR-NOT-01.</w:t>
      </w:r>
      <w:r>
        <w:rPr/>
        <w:t xml:space="preserve"> Внутренние уведомления: отправка на утверждение, возврат, утверждение, срок через 2 рабочих дня, срок сегодня, просрочка, требуется актуализация, изменение связанного графика, завершение импорта/экспорта.</w:t>
      </w:r>
    </w:p>
    <w:p>
      <w:pPr>
        <w:pStyle w:val="Normal"/>
      </w:pPr>
      <w:r>
        <w:rPr>
          <w:b/>
        </w:rPr>
        <w:t xml:space="preserve">FR-NOT-02.</w:t>
      </w:r>
      <w:r>
        <w:rPr/>
        <w:t xml:space="preserve"> Получатели определяются ответственностью: ГИП, начальник соответствующего отдела, координация, назначенный директор. Повторные уведомления по одному событию группируются; просмотр фиксируется. Внешняя отправка писем и сообщений не входит в P0.</w:t>
      </w:r>
    </w:p>
    <w:p>
      <w:pPr>
        <w:pStyle w:val="Normal"/>
      </w:pPr>
      <w:r>
        <w:rPr>
          <w:b/>
        </w:rPr>
        <w:t xml:space="preserve">FR-AUD-01.</w:t>
      </w:r>
      <w:r>
        <w:rPr/>
        <w:t xml:space="preserve"> Журнал содержит сущность, действие, старое/новое значение, пользователя, время, причину, источник «интерфейс/импорт/расчёт». Пользовательские действия и автоматические вычисления различаются.</w:t>
      </w:r>
    </w:p>
    <w:p>
      <w:pPr>
        <w:pStyle w:val="Normal"/>
      </w:pPr>
      <w:r>
        <w:rPr>
          <w:b/>
        </w:rPr>
        <w:t xml:space="preserve">FR-AUD-02.</w:t>
      </w:r>
      <w:r>
        <w:rPr/>
        <w:t xml:space="preserve"> Официальные планы и записи факта не удаляются физически из пользовательского интерфейса. Исправление сохраняет исходную запись и ссылку на корректировку. Удаление неиспользованного черновика допускается с записью в журнале.</w:t>
      </w:r>
    </w:p>
    <w:p>
      <w:pPr>
        <w:pStyle w:val="Normal"/>
      </w:pPr>
      <w:r>
        <w:rPr>
          <w:b/>
        </w:rPr>
        <w:t xml:space="preserve">FR-AUD-03.</w:t>
      </w:r>
      <w:r>
        <w:rPr/>
        <w:t xml:space="preserve"> Запуск и скачивание экспортов журналируются. Файл доступен только авторизованным пользователям с правами на его данные; отзыв доступа проверяется при скачивании, а не только при постановке в очередь.</w:t>
      </w:r>
    </w:p>
    <w:p>
      <w:pPr>
        <w:pStyle w:val="Heading1"/>
      </w:pPr>
      <w:bookmarkStart w:id="15" w:name="section_15"/>
      <w:r>
        <w:rPr/>
        <w:t xml:space="preserve">15. Нефункциональные требования</w:t>
      </w:r>
      <w:bookmarkEnd w:id="15"/>
    </w:p>
    <w:p>
      <w:pPr>
        <w:pStyle w:val="Normal"/>
      </w:pPr>
      <w:r>
        <w:rPr/>
        <w:t xml:space="preserve">Числа ниже — целевые критерии первой версии. Они подлежат проверке на нагрузочном стенде с согласованной конфигурацией, а не являются обещанием производительности любого оборудования.</w:t>
      </w:r>
    </w:p>
    <w:tbl>
      <w:tblPr>
        <w:tblW w:w="9500" w:type="dxa"/>
        <w:tblLayout w:type="fixed"/>
        <w:tblBorders>
          <w:top w:val="single" w:sz="4" w:color="CBD6DF"/>
          <w:left w:val="single" w:sz="4" w:color="CBD6DF"/>
          <w:bottom w:val="single" w:sz="4" w:color="CBD6DF"/>
          <w:right w:val="single" w:sz="4" w:color="CBD6DF"/>
          <w:insideH w:val="single" w:sz="4" w:color="CBD6DF"/>
          <w:insideV w:val="single" w:sz="4" w:color="CBD6DF"/>
        </w:tblBorders>
        <w:tblCellMar>
          <w:top w:w="70" w:type="dxa"/>
          <w:bottom w:w="70" w:type="dxa"/>
          <w:left w:w="85" w:type="dxa"/>
          <w:right w:w="85" w:type="dxa"/>
        </w:tblCellMar>
      </w:tblPr>
      <w:tblGrid>
        <w:gridCol w:w="1471"/>
        <w:gridCol w:w="1962"/>
        <w:gridCol w:w="6067"/>
      </w:tblGrid>
      <w:tr>
        <w:trPr>
          <w:cantSplit/>
          <w:tblHeader/>
        </w:trPr>
        <w:tc>
          <w:tcPr>
            <w:tcW w:w="1471" w:type="dxa"/>
            <w:vAlign w:val="top"/>
            <w:shd w:fill="E7F0F5"/>
          </w:tcPr>
          <w:p>
            <w:pPr>
              <w:pStyle w:val="TableHeader"/>
            </w:pPr>
            <w:r>
              <w:rPr/>
              <w:t xml:space="preserve">ID</w:t>
            </w:r>
          </w:p>
        </w:tc>
        <w:tc>
          <w:tcPr>
            <w:tcW w:w="1962" w:type="dxa"/>
            <w:vAlign w:val="top"/>
            <w:shd w:fill="E7F0F5"/>
          </w:tcPr>
          <w:p>
            <w:pPr>
              <w:pStyle w:val="TableHeader"/>
            </w:pPr>
            <w:r>
              <w:rPr/>
              <w:t xml:space="preserve">Требование</w:t>
            </w:r>
          </w:p>
        </w:tc>
        <w:tc>
          <w:tcPr>
            <w:tcW w:w="6067" w:type="dxa"/>
            <w:vAlign w:val="top"/>
            <w:shd w:fill="E7F0F5"/>
          </w:tcPr>
          <w:p>
            <w:pPr>
              <w:pStyle w:val="TableHeader"/>
            </w:pPr>
            <w:r>
              <w:rPr/>
              <w:t xml:space="preserve">Критерий</w:t>
            </w:r>
          </w:p>
        </w:tc>
      </w:tr>
      <w:tr>
        <w:trPr>
          <w:cantSplit/>
        </w:trPr>
        <w:tc>
          <w:tcPr>
            <w:tcW w:w="1471" w:type="dxa"/>
            <w:vAlign w:val="top"/>
          </w:tcPr>
          <w:p>
            <w:pPr>
              <w:pStyle w:val="TableText"/>
            </w:pPr>
            <w:r>
              <w:rPr/>
              <w:t xml:space="preserve">NFR-01</w:t>
            </w:r>
          </w:p>
        </w:tc>
        <w:tc>
          <w:tcPr>
            <w:tcW w:w="1962" w:type="dxa"/>
            <w:vAlign w:val="top"/>
          </w:tcPr>
          <w:p>
            <w:pPr>
              <w:pStyle w:val="TableText"/>
            </w:pPr>
            <w:r>
              <w:rPr/>
              <w:t xml:space="preserve">Масштаб</w:t>
            </w:r>
          </w:p>
        </w:tc>
        <w:tc>
          <w:tcPr>
            <w:tcW w:w="6067" w:type="dxa"/>
            <w:vAlign w:val="top"/>
          </w:tcPr>
          <w:p>
            <w:pPr>
              <w:pStyle w:val="TableText"/>
            </w:pPr>
            <w:r>
              <w:rPr/>
              <w:t xml:space="preserve">10 000 объектов, 100 000 графиков всего, 10 000 действующих, до 5 млн интервалов/событий/передач; 100 одновременных пользователей</w:t>
            </w:r>
          </w:p>
        </w:tc>
      </w:tr>
      <w:tr>
        <w:trPr>
          <w:cantSplit/>
        </w:trPr>
        <w:tc>
          <w:tcPr>
            <w:tcW w:w="1471" w:type="dxa"/>
            <w:vAlign w:val="top"/>
            <w:shd w:fill="F7FAFC"/>
          </w:tcPr>
          <w:p>
            <w:pPr>
              <w:pStyle w:val="TableText"/>
            </w:pPr>
            <w:r>
              <w:rPr/>
              <w:t xml:space="preserve">NFR-02</w:t>
            </w:r>
          </w:p>
        </w:tc>
        <w:tc>
          <w:tcPr>
            <w:tcW w:w="1962" w:type="dxa"/>
            <w:vAlign w:val="top"/>
            <w:shd w:fill="F7FAFC"/>
          </w:tcPr>
          <w:p>
            <w:pPr>
              <w:pStyle w:val="TableText"/>
            </w:pPr>
            <w:r>
              <w:rPr/>
              <w:t xml:space="preserve">Реестры</w:t>
            </w:r>
          </w:p>
        </w:tc>
        <w:tc>
          <w:tcPr>
            <w:tcW w:w="6067" w:type="dxa"/>
            <w:vAlign w:val="top"/>
            <w:shd w:fill="F7FAFC"/>
          </w:tcPr>
          <w:p>
            <w:pPr>
              <w:pStyle w:val="TableText"/>
            </w:pPr>
            <w:r>
              <w:rPr/>
              <w:t xml:space="preserve">p95 ≤ 2 с для первой страницы до 100 строк с индексированными фильтрами</w:t>
            </w:r>
          </w:p>
        </w:tc>
      </w:tr>
      <w:tr>
        <w:trPr>
          <w:cantSplit/>
        </w:trPr>
        <w:tc>
          <w:tcPr>
            <w:tcW w:w="1471" w:type="dxa"/>
            <w:vAlign w:val="top"/>
          </w:tcPr>
          <w:p>
            <w:pPr>
              <w:pStyle w:val="TableText"/>
            </w:pPr>
            <w:r>
              <w:rPr/>
              <w:t xml:space="preserve">NFR-03</w:t>
            </w:r>
          </w:p>
        </w:tc>
        <w:tc>
          <w:tcPr>
            <w:tcW w:w="1962" w:type="dxa"/>
            <w:vAlign w:val="top"/>
          </w:tcPr>
          <w:p>
            <w:pPr>
              <w:pStyle w:val="TableText"/>
            </w:pPr>
            <w:r>
              <w:rPr/>
              <w:t xml:space="preserve">Карточка и Гант</w:t>
            </w:r>
          </w:p>
        </w:tc>
        <w:tc>
          <w:tcPr>
            <w:tcW w:w="6067" w:type="dxa"/>
            <w:vAlign w:val="top"/>
          </w:tcPr>
          <w:p>
            <w:pPr>
              <w:pStyle w:val="TableText"/>
            </w:pPr>
            <w:r>
              <w:rPr/>
              <w:t xml:space="preserve">p95 ≤ 3 с для 500 интервалов/событий; большие графики загружаются частями</w:t>
            </w:r>
          </w:p>
        </w:tc>
      </w:tr>
      <w:tr>
        <w:trPr>
          <w:cantSplit/>
        </w:trPr>
        <w:tc>
          <w:tcPr>
            <w:tcW w:w="1471" w:type="dxa"/>
            <w:vAlign w:val="top"/>
            <w:shd w:fill="F7FAFC"/>
          </w:tcPr>
          <w:p>
            <w:pPr>
              <w:pStyle w:val="TableText"/>
            </w:pPr>
            <w:r>
              <w:rPr/>
              <w:t xml:space="preserve">NFR-04</w:t>
            </w:r>
          </w:p>
        </w:tc>
        <w:tc>
          <w:tcPr>
            <w:tcW w:w="1962" w:type="dxa"/>
            <w:vAlign w:val="top"/>
            <w:shd w:fill="F7FAFC"/>
          </w:tcPr>
          <w:p>
            <w:pPr>
              <w:pStyle w:val="TableText"/>
            </w:pPr>
            <w:r>
              <w:rPr/>
              <w:t xml:space="preserve">Расчёт CPM</w:t>
            </w:r>
          </w:p>
        </w:tc>
        <w:tc>
          <w:tcPr>
            <w:tcW w:w="6067" w:type="dxa"/>
            <w:vAlign w:val="top"/>
            <w:shd w:fill="F7FAFC"/>
          </w:tcPr>
          <w:p>
            <w:pPr>
              <w:pStyle w:val="TableText"/>
            </w:pPr>
            <w:r>
              <w:rPr/>
              <w:t xml:space="preserve">p95 ≤ 2 с для 1 000 узлов и 5 000 связей; крупный объект считается в фоне</w:t>
            </w:r>
          </w:p>
        </w:tc>
      </w:tr>
      <w:tr>
        <w:trPr>
          <w:cantSplit/>
        </w:trPr>
        <w:tc>
          <w:tcPr>
            <w:tcW w:w="1471" w:type="dxa"/>
            <w:vAlign w:val="top"/>
          </w:tcPr>
          <w:p>
            <w:pPr>
              <w:pStyle w:val="TableText"/>
            </w:pPr>
            <w:r>
              <w:rPr/>
              <w:t xml:space="preserve">NFR-05</w:t>
            </w:r>
          </w:p>
        </w:tc>
        <w:tc>
          <w:tcPr>
            <w:tcW w:w="1962" w:type="dxa"/>
            <w:vAlign w:val="top"/>
          </w:tcPr>
          <w:p>
            <w:pPr>
              <w:pStyle w:val="TableText"/>
            </w:pPr>
            <w:r>
              <w:rPr/>
              <w:t xml:space="preserve">Отчёты</w:t>
            </w:r>
          </w:p>
        </w:tc>
        <w:tc>
          <w:tcPr>
            <w:tcW w:w="6067" w:type="dxa"/>
            <w:vAlign w:val="top"/>
          </w:tcPr>
          <w:p>
            <w:pPr>
              <w:pStyle w:val="TableText"/>
            </w:pPr>
            <w:r>
              <w:rPr/>
              <w:t xml:space="preserve">p95 ≤ 10 с для свода 10 000 действующих графиков; Excel до 100 000 строк — фоновое задание, целевое время ≤ 60 с</w:t>
            </w:r>
          </w:p>
        </w:tc>
      </w:tr>
      <w:tr>
        <w:trPr>
          <w:cantSplit/>
        </w:trPr>
        <w:tc>
          <w:tcPr>
            <w:tcW w:w="1471" w:type="dxa"/>
            <w:vAlign w:val="top"/>
            <w:shd w:fill="F7FAFC"/>
          </w:tcPr>
          <w:p>
            <w:pPr>
              <w:pStyle w:val="TableText"/>
            </w:pPr>
            <w:r>
              <w:rPr/>
              <w:t xml:space="preserve">NFR-06</w:t>
            </w:r>
          </w:p>
        </w:tc>
        <w:tc>
          <w:tcPr>
            <w:tcW w:w="1962" w:type="dxa"/>
            <w:vAlign w:val="top"/>
            <w:shd w:fill="F7FAFC"/>
          </w:tcPr>
          <w:p>
            <w:pPr>
              <w:pStyle w:val="TableText"/>
            </w:pPr>
            <w:r>
              <w:rPr/>
              <w:t xml:space="preserve">Импорт</w:t>
            </w:r>
          </w:p>
        </w:tc>
        <w:tc>
          <w:tcPr>
            <w:tcW w:w="6067" w:type="dxa"/>
            <w:vAlign w:val="top"/>
            <w:shd w:fill="F7FAFC"/>
          </w:tcPr>
          <w:p>
            <w:pPr>
              <w:pStyle w:val="TableText"/>
            </w:pPr>
            <w:r>
              <w:rPr/>
              <w:t xml:space="preserve">До 50 МБ и 100 000 строк в файле; обработка в фоне, целевое время ≤ 5 мин; прогресс и протокол</w:t>
            </w:r>
          </w:p>
        </w:tc>
      </w:tr>
      <w:tr>
        <w:trPr>
          <w:cantSplit/>
        </w:trPr>
        <w:tc>
          <w:tcPr>
            <w:tcW w:w="1471" w:type="dxa"/>
            <w:vAlign w:val="top"/>
          </w:tcPr>
          <w:p>
            <w:pPr>
              <w:pStyle w:val="TableText"/>
            </w:pPr>
            <w:r>
              <w:rPr/>
              <w:t xml:space="preserve">NFR-07</w:t>
            </w:r>
          </w:p>
        </w:tc>
        <w:tc>
          <w:tcPr>
            <w:tcW w:w="1962" w:type="dxa"/>
            <w:vAlign w:val="top"/>
          </w:tcPr>
          <w:p>
            <w:pPr>
              <w:pStyle w:val="TableText"/>
            </w:pPr>
            <w:r>
              <w:rPr/>
              <w:t xml:space="preserve">Надёжность</w:t>
            </w:r>
          </w:p>
        </w:tc>
        <w:tc>
          <w:tcPr>
            <w:tcW w:w="6067" w:type="dxa"/>
            <w:vAlign w:val="top"/>
          </w:tcPr>
          <w:p>
            <w:pPr>
              <w:pStyle w:val="TableText"/>
            </w:pPr>
            <w:r>
              <w:rPr/>
              <w:t xml:space="preserve">Целевая доступность 99,5% в месяц, кроме согласованных окон обслуживания; RPO ≤ 24 ч, RTO ≤ 8 ч</w:t>
            </w:r>
          </w:p>
        </w:tc>
      </w:tr>
      <w:tr>
        <w:trPr>
          <w:cantSplit/>
        </w:trPr>
        <w:tc>
          <w:tcPr>
            <w:tcW w:w="1471" w:type="dxa"/>
            <w:vAlign w:val="top"/>
            <w:shd w:fill="F7FAFC"/>
          </w:tcPr>
          <w:p>
            <w:pPr>
              <w:pStyle w:val="TableText"/>
            </w:pPr>
            <w:r>
              <w:rPr/>
              <w:t xml:space="preserve">NFR-08</w:t>
            </w:r>
          </w:p>
        </w:tc>
        <w:tc>
          <w:tcPr>
            <w:tcW w:w="1962" w:type="dxa"/>
            <w:vAlign w:val="top"/>
            <w:shd w:fill="F7FAFC"/>
          </w:tcPr>
          <w:p>
            <w:pPr>
              <w:pStyle w:val="TableText"/>
            </w:pPr>
            <w:r>
              <w:rPr/>
              <w:t xml:space="preserve">Резервное копирование</w:t>
            </w:r>
          </w:p>
        </w:tc>
        <w:tc>
          <w:tcPr>
            <w:tcW w:w="6067" w:type="dxa"/>
            <w:vAlign w:val="top"/>
            <w:shd w:fill="F7FAFC"/>
          </w:tcPr>
          <w:p>
            <w:pPr>
              <w:pStyle w:val="TableText"/>
            </w:pPr>
            <w:r>
              <w:rPr/>
              <w:t xml:space="preserve">Ежедневная копия, хранение минимум 30 дней; проверка восстановления до запуска и далее ежеквартально</w:t>
            </w:r>
          </w:p>
        </w:tc>
      </w:tr>
      <w:tr>
        <w:trPr>
          <w:cantSplit/>
        </w:trPr>
        <w:tc>
          <w:tcPr>
            <w:tcW w:w="1471" w:type="dxa"/>
            <w:vAlign w:val="top"/>
          </w:tcPr>
          <w:p>
            <w:pPr>
              <w:pStyle w:val="TableText"/>
            </w:pPr>
            <w:r>
              <w:rPr/>
              <w:t xml:space="preserve">NFR-09</w:t>
            </w:r>
          </w:p>
        </w:tc>
        <w:tc>
          <w:tcPr>
            <w:tcW w:w="1962" w:type="dxa"/>
            <w:vAlign w:val="top"/>
          </w:tcPr>
          <w:p>
            <w:pPr>
              <w:pStyle w:val="TableText"/>
            </w:pPr>
            <w:r>
              <w:rPr/>
              <w:t xml:space="preserve">Защита</w:t>
            </w:r>
          </w:p>
        </w:tc>
        <w:tc>
          <w:tcPr>
            <w:tcW w:w="6067" w:type="dxa"/>
            <w:vAlign w:val="top"/>
          </w:tcPr>
          <w:p>
            <w:pPr>
              <w:pStyle w:val="TableText"/>
            </w:pPr>
            <w:r>
              <w:rPr/>
              <w:t xml:space="preserve">HTTPS, серверная авторизация, ограничение попыток входа, безопасное хранение паролей; MFA для администраторов и утверждающих</w:t>
            </w:r>
          </w:p>
        </w:tc>
      </w:tr>
      <w:tr>
        <w:trPr>
          <w:cantSplit/>
        </w:trPr>
        <w:tc>
          <w:tcPr>
            <w:tcW w:w="1471" w:type="dxa"/>
            <w:vAlign w:val="top"/>
            <w:shd w:fill="F7FAFC"/>
          </w:tcPr>
          <w:p>
            <w:pPr>
              <w:pStyle w:val="TableText"/>
            </w:pPr>
            <w:r>
              <w:rPr/>
              <w:t xml:space="preserve">NFR-10</w:t>
            </w:r>
          </w:p>
        </w:tc>
        <w:tc>
          <w:tcPr>
            <w:tcW w:w="1962" w:type="dxa"/>
            <w:vAlign w:val="top"/>
            <w:shd w:fill="F7FAFC"/>
          </w:tcPr>
          <w:p>
            <w:pPr>
              <w:pStyle w:val="TableText"/>
            </w:pPr>
            <w:r>
              <w:rPr/>
              <w:t xml:space="preserve">Совместимость</w:t>
            </w:r>
          </w:p>
        </w:tc>
        <w:tc>
          <w:tcPr>
            <w:tcW w:w="6067" w:type="dxa"/>
            <w:vAlign w:val="top"/>
            <w:shd w:fill="F7FAFC"/>
          </w:tcPr>
          <w:p>
            <w:pPr>
              <w:pStyle w:val="TableText"/>
            </w:pPr>
            <w:r>
              <w:rPr/>
              <w:t xml:space="preserve">Проверка актуальных на момент приёмки стабильных Chrome, Edge, Firefox; XLSX — Excel 2021/Microsoft 365 и LibreOffice с проверкой печати</w:t>
            </w:r>
          </w:p>
        </w:tc>
      </w:tr>
      <w:tr>
        <w:trPr>
          <w:cantSplit/>
        </w:trPr>
        <w:tc>
          <w:tcPr>
            <w:tcW w:w="1471" w:type="dxa"/>
            <w:vAlign w:val="top"/>
          </w:tcPr>
          <w:p>
            <w:pPr>
              <w:pStyle w:val="TableText"/>
            </w:pPr>
            <w:r>
              <w:rPr/>
              <w:t xml:space="preserve">NFR-11</w:t>
            </w:r>
          </w:p>
        </w:tc>
        <w:tc>
          <w:tcPr>
            <w:tcW w:w="1962" w:type="dxa"/>
            <w:vAlign w:val="top"/>
          </w:tcPr>
          <w:p>
            <w:pPr>
              <w:pStyle w:val="TableText"/>
            </w:pPr>
            <w:r>
              <w:rPr/>
              <w:t xml:space="preserve">Локализация</w:t>
            </w:r>
          </w:p>
        </w:tc>
        <w:tc>
          <w:tcPr>
            <w:tcW w:w="6067" w:type="dxa"/>
            <w:vAlign w:val="top"/>
          </w:tcPr>
          <w:p>
            <w:pPr>
              <w:pStyle w:val="TableText"/>
            </w:pPr>
            <w:r>
              <w:rPr/>
              <w:t xml:space="preserve">Русский интерфейс, Unicode в ФИО и названиях, даты ДД.ММ.ГГГГ; хранение моментов в UTC, отображение Asia/Tashkent</w:t>
            </w:r>
          </w:p>
        </w:tc>
      </w:tr>
      <w:tr>
        <w:trPr>
          <w:cantSplit/>
        </w:trPr>
        <w:tc>
          <w:tcPr>
            <w:tcW w:w="1471" w:type="dxa"/>
            <w:vAlign w:val="top"/>
            <w:shd w:fill="F7FAFC"/>
          </w:tcPr>
          <w:p>
            <w:pPr>
              <w:pStyle w:val="TableText"/>
            </w:pPr>
            <w:r>
              <w:rPr/>
              <w:t xml:space="preserve">NFR-12</w:t>
            </w:r>
          </w:p>
        </w:tc>
        <w:tc>
          <w:tcPr>
            <w:tcW w:w="1962" w:type="dxa"/>
            <w:vAlign w:val="top"/>
            <w:shd w:fill="F7FAFC"/>
          </w:tcPr>
          <w:p>
            <w:pPr>
              <w:pStyle w:val="TableText"/>
            </w:pPr>
            <w:r>
              <w:rPr/>
              <w:t xml:space="preserve">Наблюдаемость</w:t>
            </w:r>
          </w:p>
        </w:tc>
        <w:tc>
          <w:tcPr>
            <w:tcW w:w="6067" w:type="dxa"/>
            <w:vAlign w:val="top"/>
            <w:shd w:fill="F7FAFC"/>
          </w:tcPr>
          <w:p>
            <w:pPr>
              <w:pStyle w:val="TableText"/>
            </w:pPr>
            <w:r>
              <w:rPr/>
              <w:t xml:space="preserve">Журналы ошибок и фоновых заданий, время расчётов, мониторинг очередей и резервных копий; без паролей и токенов в логах</w:t>
            </w:r>
          </w:p>
        </w:tc>
      </w:tr>
      <w:tr>
        <w:trPr>
          <w:cantSplit/>
        </w:trPr>
        <w:tc>
          <w:tcPr>
            <w:tcW w:w="1471" w:type="dxa"/>
            <w:vAlign w:val="top"/>
          </w:tcPr>
          <w:p>
            <w:pPr>
              <w:pStyle w:val="TableText"/>
            </w:pPr>
            <w:r>
              <w:rPr/>
              <w:t xml:space="preserve">NFR-13</w:t>
            </w:r>
          </w:p>
        </w:tc>
        <w:tc>
          <w:tcPr>
            <w:tcW w:w="1962" w:type="dxa"/>
            <w:vAlign w:val="top"/>
          </w:tcPr>
          <w:p>
            <w:pPr>
              <w:pStyle w:val="TableText"/>
            </w:pPr>
            <w:r>
              <w:rPr/>
              <w:t xml:space="preserve">Целостность</w:t>
            </w:r>
          </w:p>
        </w:tc>
        <w:tc>
          <w:tcPr>
            <w:tcW w:w="6067" w:type="dxa"/>
            <w:vAlign w:val="top"/>
          </w:tcPr>
          <w:p>
            <w:pPr>
              <w:pStyle w:val="TableText"/>
            </w:pPr>
            <w:r>
              <w:rPr/>
              <w:t xml:space="preserve">Транзакции для согласования и импорта; оптимистическая блокировка версий при редактировании</w:t>
            </w:r>
          </w:p>
        </w:tc>
      </w:tr>
      <w:tr>
        <w:trPr>
          <w:cantSplit/>
        </w:trPr>
        <w:tc>
          <w:tcPr>
            <w:tcW w:w="1471" w:type="dxa"/>
            <w:vAlign w:val="top"/>
            <w:shd w:fill="F7FAFC"/>
          </w:tcPr>
          <w:p>
            <w:pPr>
              <w:pStyle w:val="TableText"/>
            </w:pPr>
            <w:r>
              <w:rPr/>
              <w:t xml:space="preserve">NFR-14</w:t>
            </w:r>
          </w:p>
        </w:tc>
        <w:tc>
          <w:tcPr>
            <w:tcW w:w="1962" w:type="dxa"/>
            <w:vAlign w:val="top"/>
            <w:shd w:fill="F7FAFC"/>
          </w:tcPr>
          <w:p>
            <w:pPr>
              <w:pStyle w:val="TableText"/>
            </w:pPr>
            <w:r>
              <w:rPr/>
              <w:t xml:space="preserve">История</w:t>
            </w:r>
          </w:p>
        </w:tc>
        <w:tc>
          <w:tcPr>
            <w:tcW w:w="6067" w:type="dxa"/>
            <w:vAlign w:val="top"/>
            <w:shd w:fill="F7FAFC"/>
          </w:tcPr>
          <w:p>
            <w:pPr>
              <w:pStyle w:val="TableText"/>
            </w:pPr>
            <w:r>
              <w:rPr/>
              <w:t xml:space="preserve">История планов и факта хранится в течение жизненного цикла системы; её удаление не входит в обычные пользовательские функции</w:t>
            </w:r>
          </w:p>
        </w:tc>
      </w:tr>
    </w:tbl>
    <w:p>
      <w:pPr>
        <w:pStyle w:val="TableAfter"/>
      </w:pPr>
    </w:p>
    <w:p>
      <w:pPr>
        <w:pStyle w:val="Normal"/>
      </w:pPr>
      <w:r>
        <w:rPr/>
        <w:t xml:space="preserve">Для превышения указанных лимитов система должна предлагать разбиение/фоновую обработку, а не зависать или обрезать данные. Параметры хранения снимков и тяжёлых файлов настраиваются отдельно от сохранности истории: временные файлы выгрузок — 30 дней, сохранённые снимки отчётов — без автоматического удаления в P0.</w:t>
      </w:r>
    </w:p>
    <w:p>
      <w:pPr>
        <w:pStyle w:val="Heading1"/>
      </w:pPr>
      <w:bookmarkStart w:id="16" w:name="section_16"/>
      <w:r>
        <w:rPr/>
        <w:t xml:space="preserve">16. Критерии приёмки и контрольные сценарии</w:t>
      </w:r>
      <w:bookmarkEnd w:id="16"/>
    </w:p>
    <w:tbl>
      <w:tblPr>
        <w:tblW w:w="9500" w:type="dxa"/>
        <w:tblLayout w:type="fixed"/>
        <w:tblBorders>
          <w:top w:val="single" w:sz="4" w:color="CBD6DF"/>
          <w:left w:val="single" w:sz="4" w:color="CBD6DF"/>
          <w:bottom w:val="single" w:sz="4" w:color="CBD6DF"/>
          <w:right w:val="single" w:sz="4" w:color="CBD6DF"/>
          <w:insideH w:val="single" w:sz="4" w:color="CBD6DF"/>
          <w:insideV w:val="single" w:sz="4" w:color="CBD6DF"/>
        </w:tblBorders>
        <w:tblCellMar>
          <w:top w:w="70" w:type="dxa"/>
          <w:bottom w:w="70" w:type="dxa"/>
          <w:left w:w="85" w:type="dxa"/>
          <w:right w:w="85" w:type="dxa"/>
        </w:tblCellMar>
      </w:tblPr>
      <w:tblGrid>
        <w:gridCol w:w="1265"/>
        <w:gridCol w:w="3647"/>
        <w:gridCol w:w="4588"/>
      </w:tblGrid>
      <w:tr>
        <w:trPr>
          <w:cantSplit/>
          <w:tblHeader/>
        </w:trPr>
        <w:tc>
          <w:tcPr>
            <w:tcW w:w="1265" w:type="dxa"/>
            <w:vAlign w:val="top"/>
            <w:shd w:fill="E7F0F5"/>
          </w:tcPr>
          <w:p>
            <w:pPr>
              <w:pStyle w:val="TableHeader"/>
            </w:pPr>
            <w:r>
              <w:rPr/>
              <w:t xml:space="preserve">ID</w:t>
            </w:r>
          </w:p>
        </w:tc>
        <w:tc>
          <w:tcPr>
            <w:tcW w:w="3647" w:type="dxa"/>
            <w:vAlign w:val="top"/>
            <w:shd w:fill="E7F0F5"/>
          </w:tcPr>
          <w:p>
            <w:pPr>
              <w:pStyle w:val="TableHeader"/>
            </w:pPr>
            <w:r>
              <w:rPr/>
              <w:t xml:space="preserve">Сценарий</w:t>
            </w:r>
          </w:p>
        </w:tc>
        <w:tc>
          <w:tcPr>
            <w:tcW w:w="4588" w:type="dxa"/>
            <w:vAlign w:val="top"/>
            <w:shd w:fill="E7F0F5"/>
          </w:tcPr>
          <w:p>
            <w:pPr>
              <w:pStyle w:val="TableHeader"/>
            </w:pPr>
            <w:r>
              <w:rPr/>
              <w:t xml:space="preserve">Ожидаемый результат</w:t>
            </w:r>
          </w:p>
        </w:tc>
      </w:tr>
      <w:tr>
        <w:trPr>
          <w:cantSplit/>
        </w:trPr>
        <w:tc>
          <w:tcPr>
            <w:tcW w:w="1265" w:type="dxa"/>
            <w:vAlign w:val="top"/>
          </w:tcPr>
          <w:p>
            <w:pPr>
              <w:pStyle w:val="TableText"/>
            </w:pPr>
            <w:r>
              <w:rPr/>
              <w:t xml:space="preserve">AC-01</w:t>
            </w:r>
          </w:p>
        </w:tc>
        <w:tc>
          <w:tcPr>
            <w:tcW w:w="3647" w:type="dxa"/>
            <w:vAlign w:val="top"/>
          </w:tcPr>
          <w:p>
            <w:pPr>
              <w:pStyle w:val="TableText"/>
            </w:pPr>
            <w:r>
              <w:rPr/>
              <w:t xml:space="preserve">ГИП создаёт объект, стадию, этап и график</w:t>
            </w:r>
          </w:p>
        </w:tc>
        <w:tc>
          <w:tcPr>
            <w:tcW w:w="4588" w:type="dxa"/>
            <w:vAlign w:val="top"/>
          </w:tcPr>
          <w:p>
            <w:pPr>
              <w:pStyle w:val="TableText"/>
            </w:pPr>
            <w:r>
              <w:rPr/>
              <w:t xml:space="preserve">Иерархия сохраняется; обязательные реквизиты отображаются в карточке и Excel</w:t>
            </w:r>
          </w:p>
        </w:tc>
      </w:tr>
      <w:tr>
        <w:trPr>
          <w:cantSplit/>
        </w:trPr>
        <w:tc>
          <w:tcPr>
            <w:tcW w:w="1265" w:type="dxa"/>
            <w:vAlign w:val="top"/>
            <w:shd w:fill="F7FAFC"/>
          </w:tcPr>
          <w:p>
            <w:pPr>
              <w:pStyle w:val="TableText"/>
            </w:pPr>
            <w:r>
              <w:rPr/>
              <w:t xml:space="preserve">AC-02</w:t>
            </w:r>
          </w:p>
        </w:tc>
        <w:tc>
          <w:tcPr>
            <w:tcW w:w="3647" w:type="dxa"/>
            <w:vAlign w:val="top"/>
            <w:shd w:fill="F7FAFC"/>
          </w:tcPr>
          <w:p>
            <w:pPr>
              <w:pStyle w:val="TableText"/>
            </w:pPr>
            <w:r>
              <w:rPr/>
              <w:t xml:space="preserve">Выбор двух моделей с событием № 5</w:t>
            </w:r>
          </w:p>
        </w:tc>
        <w:tc>
          <w:tcPr>
            <w:tcW w:w="4588" w:type="dxa"/>
            <w:vAlign w:val="top"/>
            <w:shd w:fill="F7FAFC"/>
          </w:tcPr>
          <w:p>
            <w:pPr>
              <w:pStyle w:val="TableText"/>
            </w:pPr>
            <w:r>
              <w:rPr/>
              <w:t xml:space="preserve">Создаются разные события с указанием модели, коллизии ID отсутствуют</w:t>
            </w:r>
          </w:p>
        </w:tc>
      </w:tr>
      <w:tr>
        <w:trPr>
          <w:cantSplit/>
        </w:trPr>
        <w:tc>
          <w:tcPr>
            <w:tcW w:w="1265" w:type="dxa"/>
            <w:vAlign w:val="top"/>
          </w:tcPr>
          <w:p>
            <w:pPr>
              <w:pStyle w:val="TableText"/>
            </w:pPr>
            <w:r>
              <w:rPr/>
              <w:t xml:space="preserve">AC-03</w:t>
            </w:r>
          </w:p>
        </w:tc>
        <w:tc>
          <w:tcPr>
            <w:tcW w:w="3647" w:type="dxa"/>
            <w:vAlign w:val="top"/>
          </w:tcPr>
          <w:p>
            <w:pPr>
              <w:pStyle w:val="TableText"/>
            </w:pPr>
            <w:r>
              <w:rPr/>
              <w:t xml:space="preserve">Исключение специальности с обязательной выдачей</w:t>
            </w:r>
          </w:p>
        </w:tc>
        <w:tc>
          <w:tcPr>
            <w:tcW w:w="4588" w:type="dxa"/>
            <w:vAlign w:val="top"/>
          </w:tcPr>
          <w:p>
            <w:pPr>
              <w:pStyle w:val="TableText"/>
            </w:pPr>
            <w:r>
              <w:rPr/>
              <w:t xml:space="preserve">Показаны затронутые связи; утверждение заблокировано до явного разрешения</w:t>
            </w:r>
          </w:p>
        </w:tc>
      </w:tr>
      <w:tr>
        <w:trPr>
          <w:cantSplit/>
        </w:trPr>
        <w:tc>
          <w:tcPr>
            <w:tcW w:w="1265" w:type="dxa"/>
            <w:vAlign w:val="top"/>
            <w:shd w:fill="F7FAFC"/>
          </w:tcPr>
          <w:p>
            <w:pPr>
              <w:pStyle w:val="TableText"/>
            </w:pPr>
            <w:r>
              <w:rPr/>
              <w:t xml:space="preserve">AC-04</w:t>
            </w:r>
          </w:p>
        </w:tc>
        <w:tc>
          <w:tcPr>
            <w:tcW w:w="3647" w:type="dxa"/>
            <w:vAlign w:val="top"/>
            <w:shd w:fill="F7FAFC"/>
          </w:tcPr>
          <w:p>
            <w:pPr>
              <w:pStyle w:val="TableText"/>
            </w:pPr>
            <w:r>
              <w:rPr/>
              <w:t xml:space="preserve">Передача между разными этапами одной специальности</w:t>
            </w:r>
          </w:p>
        </w:tc>
        <w:tc>
          <w:tcPr>
            <w:tcW w:w="4588" w:type="dxa"/>
            <w:vAlign w:val="top"/>
            <w:shd w:fill="F7FAFC"/>
          </w:tcPr>
          <w:p>
            <w:pPr>
              <w:pStyle w:val="TableText"/>
            </w:pPr>
            <w:r>
              <w:rPr/>
              <w:t xml:space="preserve">Допускается при отсутствии цикла между узлами</w:t>
            </w:r>
          </w:p>
        </w:tc>
      </w:tr>
      <w:tr>
        <w:trPr>
          <w:cantSplit/>
        </w:trPr>
        <w:tc>
          <w:tcPr>
            <w:tcW w:w="1265" w:type="dxa"/>
            <w:vAlign w:val="top"/>
          </w:tcPr>
          <w:p>
            <w:pPr>
              <w:pStyle w:val="TableText"/>
            </w:pPr>
            <w:r>
              <w:rPr/>
              <w:t xml:space="preserve">AC-05</w:t>
            </w:r>
          </w:p>
        </w:tc>
        <w:tc>
          <w:tcPr>
            <w:tcW w:w="3647" w:type="dxa"/>
            <w:vAlign w:val="top"/>
          </w:tcPr>
          <w:p>
            <w:pPr>
              <w:pStyle w:val="TableText"/>
            </w:pPr>
            <w:r>
              <w:rPr/>
              <w:t xml:space="preserve">Добавление зависимости, создающей цикл</w:t>
            </w:r>
          </w:p>
        </w:tc>
        <w:tc>
          <w:tcPr>
            <w:tcW w:w="4588" w:type="dxa"/>
            <w:vAlign w:val="top"/>
          </w:tcPr>
          <w:p>
            <w:pPr>
              <w:pStyle w:val="TableText"/>
            </w:pPr>
            <w:r>
              <w:rPr/>
              <w:t xml:space="preserve">Показана цепочка цикла; утверждение и CPM заблокированы</w:t>
            </w:r>
          </w:p>
        </w:tc>
      </w:tr>
      <w:tr>
        <w:trPr>
          <w:cantSplit/>
        </w:trPr>
        <w:tc>
          <w:tcPr>
            <w:tcW w:w="1265" w:type="dxa"/>
            <w:vAlign w:val="top"/>
            <w:shd w:fill="F7FAFC"/>
          </w:tcPr>
          <w:p>
            <w:pPr>
              <w:pStyle w:val="TableText"/>
            </w:pPr>
            <w:r>
              <w:rPr/>
              <w:t xml:space="preserve">AC-06</w:t>
            </w:r>
          </w:p>
        </w:tc>
        <w:tc>
          <w:tcPr>
            <w:tcW w:w="3647" w:type="dxa"/>
            <w:vAlign w:val="top"/>
            <w:shd w:fill="F7FAFC"/>
          </w:tcPr>
          <w:p>
            <w:pPr>
              <w:pStyle w:val="TableText"/>
            </w:pPr>
            <w:r>
              <w:rPr/>
              <w:t xml:space="preserve">Обычная работа начинается и заканчивается в один рабочий день</w:t>
            </w:r>
          </w:p>
        </w:tc>
        <w:tc>
          <w:tcPr>
            <w:tcW w:w="4588" w:type="dxa"/>
            <w:vAlign w:val="top"/>
            <w:shd w:fill="F7FAFC"/>
          </w:tcPr>
          <w:p>
            <w:pPr>
              <w:pStyle w:val="TableText"/>
            </w:pPr>
            <w:r>
              <w:rPr/>
              <w:t xml:space="preserve">Длительность 1 день; событие в ту же дату — 0 дней</w:t>
            </w:r>
          </w:p>
        </w:tc>
      </w:tr>
      <w:tr>
        <w:trPr>
          <w:cantSplit/>
        </w:trPr>
        <w:tc>
          <w:tcPr>
            <w:tcW w:w="1265" w:type="dxa"/>
            <w:vAlign w:val="top"/>
          </w:tcPr>
          <w:p>
            <w:pPr>
              <w:pStyle w:val="TableText"/>
            </w:pPr>
            <w:r>
              <w:rPr/>
              <w:t xml:space="preserve">AC-07</w:t>
            </w:r>
          </w:p>
        </w:tc>
        <w:tc>
          <w:tcPr>
            <w:tcW w:w="3647" w:type="dxa"/>
            <w:vAlign w:val="top"/>
          </w:tcPr>
          <w:p>
            <w:pPr>
              <w:pStyle w:val="TableText"/>
            </w:pPr>
            <w:r>
              <w:rPr/>
              <w:t xml:space="preserve">Работа с пятницы по понедельник, без праздников</w:t>
            </w:r>
          </w:p>
        </w:tc>
        <w:tc>
          <w:tcPr>
            <w:tcW w:w="4588" w:type="dxa"/>
            <w:vAlign w:val="top"/>
          </w:tcPr>
          <w:p>
            <w:pPr>
              <w:pStyle w:val="TableText"/>
            </w:pPr>
            <w:r>
              <w:rPr/>
              <w:t xml:space="preserve">2 рабочих дня; при нерабочем понедельнике дата окончания требует исправления</w:t>
            </w:r>
          </w:p>
        </w:tc>
      </w:tr>
      <w:tr>
        <w:trPr>
          <w:cantSplit/>
        </w:trPr>
        <w:tc>
          <w:tcPr>
            <w:tcW w:w="1265" w:type="dxa"/>
            <w:vAlign w:val="top"/>
            <w:shd w:fill="F7FAFC"/>
          </w:tcPr>
          <w:p>
            <w:pPr>
              <w:pStyle w:val="TableText"/>
            </w:pPr>
            <w:r>
              <w:rPr/>
              <w:t xml:space="preserve">AC-08</w:t>
            </w:r>
          </w:p>
        </w:tc>
        <w:tc>
          <w:tcPr>
            <w:tcW w:w="3647" w:type="dxa"/>
            <w:vAlign w:val="top"/>
            <w:shd w:fill="F7FAFC"/>
          </w:tcPr>
          <w:p>
            <w:pPr>
              <w:pStyle w:val="TableText"/>
            </w:pPr>
            <w:r>
              <w:rPr/>
              <w:t xml:space="preserve">Изменение опубликованного календаря</w:t>
            </w:r>
          </w:p>
        </w:tc>
        <w:tc>
          <w:tcPr>
            <w:tcW w:w="4588" w:type="dxa"/>
            <w:vAlign w:val="top"/>
            <w:shd w:fill="F7FAFC"/>
          </w:tcPr>
          <w:p>
            <w:pPr>
              <w:pStyle w:val="TableText"/>
            </w:pPr>
            <w:r>
              <w:rPr/>
              <w:t xml:space="preserve">Старая версия графика не меняется; показано влияние нового календаря</w:t>
            </w:r>
          </w:p>
        </w:tc>
      </w:tr>
      <w:tr>
        <w:trPr>
          <w:cantSplit/>
        </w:trPr>
        <w:tc>
          <w:tcPr>
            <w:tcW w:w="1265" w:type="dxa"/>
            <w:vAlign w:val="top"/>
          </w:tcPr>
          <w:p>
            <w:pPr>
              <w:pStyle w:val="TableText"/>
            </w:pPr>
            <w:r>
              <w:rPr/>
              <w:t xml:space="preserve">AC-09</w:t>
            </w:r>
          </w:p>
        </w:tc>
        <w:tc>
          <w:tcPr>
            <w:tcW w:w="3647" w:type="dxa"/>
            <w:vAlign w:val="top"/>
          </w:tcPr>
          <w:p>
            <w:pPr>
              <w:pStyle w:val="TableText"/>
            </w:pPr>
            <w:r>
              <w:rPr/>
              <w:t xml:space="preserve">Сеть А–Б/В–Г из раздела 8.4</w:t>
            </w:r>
          </w:p>
        </w:tc>
        <w:tc>
          <w:tcPr>
            <w:tcW w:w="4588" w:type="dxa"/>
            <w:vAlign w:val="top"/>
          </w:tcPr>
          <w:p>
            <w:pPr>
              <w:pStyle w:val="TableText"/>
            </w:pPr>
            <w:r>
              <w:rPr/>
              <w:t xml:space="preserve">10 дней, путь А–Б–Г, резерв В — 3 дня, при сроке D9 отрицательный резерв — 1 день</w:t>
            </w:r>
          </w:p>
        </w:tc>
      </w:tr>
      <w:tr>
        <w:trPr>
          <w:cantSplit/>
        </w:trPr>
        <w:tc>
          <w:tcPr>
            <w:tcW w:w="1265" w:type="dxa"/>
            <w:vAlign w:val="top"/>
            <w:shd w:fill="F7FAFC"/>
          </w:tcPr>
          <w:p>
            <w:pPr>
              <w:pStyle w:val="TableText"/>
            </w:pPr>
            <w:r>
              <w:rPr/>
              <w:t xml:space="preserve">AC-10</w:t>
            </w:r>
          </w:p>
        </w:tc>
        <w:tc>
          <w:tcPr>
            <w:tcW w:w="3647" w:type="dxa"/>
            <w:vAlign w:val="top"/>
            <w:shd w:fill="F7FAFC"/>
          </w:tcPr>
          <w:p>
            <w:pPr>
              <w:pStyle w:val="TableText"/>
            </w:pPr>
            <w:r>
              <w:rPr/>
              <w:t xml:space="preserve">Две параллельные ветви одинаковой длины</w:t>
            </w:r>
          </w:p>
        </w:tc>
        <w:tc>
          <w:tcPr>
            <w:tcW w:w="4588" w:type="dxa"/>
            <w:vAlign w:val="top"/>
            <w:shd w:fill="F7FAFC"/>
          </w:tcPr>
          <w:p>
            <w:pPr>
              <w:pStyle w:val="TableText"/>
            </w:pPr>
            <w:r>
              <w:rPr/>
              <w:t xml:space="preserve">Подсвечиваются оба критических пути</w:t>
            </w:r>
          </w:p>
        </w:tc>
      </w:tr>
      <w:tr>
        <w:trPr>
          <w:cantSplit/>
        </w:trPr>
        <w:tc>
          <w:tcPr>
            <w:tcW w:w="1265" w:type="dxa"/>
            <w:vAlign w:val="top"/>
          </w:tcPr>
          <w:p>
            <w:pPr>
              <w:pStyle w:val="TableText"/>
            </w:pPr>
            <w:r>
              <w:rPr/>
              <w:t xml:space="preserve">AC-11</w:t>
            </w:r>
          </w:p>
        </w:tc>
        <w:tc>
          <w:tcPr>
            <w:tcW w:w="3647" w:type="dxa"/>
            <w:vAlign w:val="top"/>
          </w:tcPr>
          <w:p>
            <w:pPr>
              <w:pStyle w:val="TableText"/>
            </w:pPr>
            <w:r>
              <w:rPr/>
              <w:t xml:space="preserve">Работа вручную поставлена раньше получения обязательных данных</w:t>
            </w:r>
          </w:p>
        </w:tc>
        <w:tc>
          <w:tcPr>
            <w:tcW w:w="4588" w:type="dxa"/>
            <w:vAlign w:val="top"/>
          </w:tcPr>
          <w:p>
            <w:pPr>
              <w:pStyle w:val="TableText"/>
            </w:pPr>
            <w:r>
              <w:rPr/>
              <w:t xml:space="preserve">Сообщение с нарушенной связью; утверждение недоступно; даты не исправляются автоматически</w:t>
            </w:r>
          </w:p>
        </w:tc>
      </w:tr>
      <w:tr>
        <w:trPr>
          <w:cantSplit/>
        </w:trPr>
        <w:tc>
          <w:tcPr>
            <w:tcW w:w="1265" w:type="dxa"/>
            <w:vAlign w:val="top"/>
            <w:shd w:fill="F7FAFC"/>
          </w:tcPr>
          <w:p>
            <w:pPr>
              <w:pStyle w:val="TableText"/>
            </w:pPr>
            <w:r>
              <w:rPr/>
              <w:t xml:space="preserve">AC-12</w:t>
            </w:r>
          </w:p>
        </w:tc>
        <w:tc>
          <w:tcPr>
            <w:tcW w:w="3647" w:type="dxa"/>
            <w:vAlign w:val="top"/>
            <w:shd w:fill="F7FAFC"/>
          </w:tcPr>
          <w:p>
            <w:pPr>
              <w:pStyle w:val="TableText"/>
            </w:pPr>
            <w:r>
              <w:rPr/>
              <w:t xml:space="preserve">Передача в начале/конце рабочего дня</w:t>
            </w:r>
          </w:p>
        </w:tc>
        <w:tc>
          <w:tcPr>
            <w:tcW w:w="4588" w:type="dxa"/>
            <w:vAlign w:val="top"/>
            <w:shd w:fill="F7FAFC"/>
          </w:tcPr>
          <w:p>
            <w:pPr>
              <w:pStyle w:val="TableText"/>
            </w:pPr>
            <w:r>
              <w:rPr/>
              <w:t xml:space="preserve">Зависимая работа может начаться в этот/следующий рабочий день соответственно</w:t>
            </w:r>
          </w:p>
        </w:tc>
      </w:tr>
      <w:tr>
        <w:trPr>
          <w:cantSplit/>
        </w:trPr>
        <w:tc>
          <w:tcPr>
            <w:tcW w:w="1265" w:type="dxa"/>
            <w:vAlign w:val="top"/>
          </w:tcPr>
          <w:p>
            <w:pPr>
              <w:pStyle w:val="TableText"/>
            </w:pPr>
            <w:r>
              <w:rPr/>
              <w:t xml:space="preserve">AC-13</w:t>
            </w:r>
          </w:p>
        </w:tc>
        <w:tc>
          <w:tcPr>
            <w:tcW w:w="3647" w:type="dxa"/>
            <w:vAlign w:val="top"/>
          </w:tcPr>
          <w:p>
            <w:pPr>
              <w:pStyle w:val="TableText"/>
            </w:pPr>
            <w:r>
              <w:rPr/>
              <w:t xml:space="preserve">ГИП отправляет график выбранному директору</w:t>
            </w:r>
          </w:p>
        </w:tc>
        <w:tc>
          <w:tcPr>
            <w:tcW w:w="4588" w:type="dxa"/>
            <w:vAlign w:val="top"/>
          </w:tcPr>
          <w:p>
            <w:pPr>
              <w:pStyle w:val="TableText"/>
            </w:pPr>
            <w:r>
              <w:rPr/>
              <w:t xml:space="preserve">Директор видит снимок; редактирование снимка и самоутверждение запрещены</w:t>
            </w:r>
          </w:p>
        </w:tc>
      </w:tr>
      <w:tr>
        <w:trPr>
          <w:cantSplit/>
        </w:trPr>
        <w:tc>
          <w:tcPr>
            <w:tcW w:w="1265" w:type="dxa"/>
            <w:vAlign w:val="top"/>
            <w:shd w:fill="F7FAFC"/>
          </w:tcPr>
          <w:p>
            <w:pPr>
              <w:pStyle w:val="TableText"/>
            </w:pPr>
            <w:r>
              <w:rPr/>
              <w:t xml:space="preserve">AC-14</w:t>
            </w:r>
          </w:p>
        </w:tc>
        <w:tc>
          <w:tcPr>
            <w:tcW w:w="3647" w:type="dxa"/>
            <w:vAlign w:val="top"/>
            <w:shd w:fill="F7FAFC"/>
          </w:tcPr>
          <w:p>
            <w:pPr>
              <w:pStyle w:val="TableText"/>
            </w:pPr>
            <w:r>
              <w:rPr/>
              <w:t xml:space="preserve">Заявка продления находится на рассмотрении</w:t>
            </w:r>
          </w:p>
        </w:tc>
        <w:tc>
          <w:tcPr>
            <w:tcW w:w="4588" w:type="dxa"/>
            <w:vAlign w:val="top"/>
            <w:shd w:fill="F7FAFC"/>
          </w:tcPr>
          <w:p>
            <w:pPr>
              <w:pStyle w:val="TableText"/>
            </w:pPr>
            <w:r>
              <w:rPr/>
              <w:t xml:space="preserve">Отчёты используют прежний план; предложенный перенос виден отдельно</w:t>
            </w:r>
          </w:p>
        </w:tc>
      </w:tr>
      <w:tr>
        <w:trPr>
          <w:cantSplit/>
        </w:trPr>
        <w:tc>
          <w:tcPr>
            <w:tcW w:w="1265" w:type="dxa"/>
            <w:vAlign w:val="top"/>
          </w:tcPr>
          <w:p>
            <w:pPr>
              <w:pStyle w:val="TableText"/>
            </w:pPr>
            <w:r>
              <w:rPr/>
              <w:t xml:space="preserve">AC-15</w:t>
            </w:r>
          </w:p>
        </w:tc>
        <w:tc>
          <w:tcPr>
            <w:tcW w:w="3647" w:type="dxa"/>
            <w:vAlign w:val="top"/>
          </w:tcPr>
          <w:p>
            <w:pPr>
              <w:pStyle w:val="TableText"/>
            </w:pPr>
            <w:r>
              <w:rPr/>
              <w:t xml:space="preserve">Продление утверждено</w:t>
            </w:r>
          </w:p>
        </w:tc>
        <w:tc>
          <w:tcPr>
            <w:tcW w:w="4588" w:type="dxa"/>
            <w:vAlign w:val="top"/>
          </w:tcPr>
          <w:p>
            <w:pPr>
              <w:pStyle w:val="TableText"/>
            </w:pPr>
            <w:r>
              <w:rPr/>
              <w:t xml:space="preserve">Новый план действует с утверждения; первоначальная версия и причина сохранены</w:t>
            </w:r>
          </w:p>
        </w:tc>
      </w:tr>
      <w:tr>
        <w:trPr>
          <w:cantSplit/>
        </w:trPr>
        <w:tc>
          <w:tcPr>
            <w:tcW w:w="1265" w:type="dxa"/>
            <w:vAlign w:val="top"/>
            <w:shd w:fill="F7FAFC"/>
          </w:tcPr>
          <w:p>
            <w:pPr>
              <w:pStyle w:val="TableText"/>
            </w:pPr>
            <w:r>
              <w:rPr/>
              <w:t xml:space="preserve">AC-16</w:t>
            </w:r>
          </w:p>
        </w:tc>
        <w:tc>
          <w:tcPr>
            <w:tcW w:w="3647" w:type="dxa"/>
            <w:vAlign w:val="top"/>
            <w:shd w:fill="F7FAFC"/>
          </w:tcPr>
          <w:p>
            <w:pPr>
              <w:pStyle w:val="TableText"/>
            </w:pPr>
            <w:r>
              <w:rPr/>
              <w:t xml:space="preserve">Ввод 100% без даты окончания или окончания без начала</w:t>
            </w:r>
          </w:p>
        </w:tc>
        <w:tc>
          <w:tcPr>
            <w:tcW w:w="4588" w:type="dxa"/>
            <w:vAlign w:val="top"/>
            <w:shd w:fill="F7FAFC"/>
          </w:tcPr>
          <w:p>
            <w:pPr>
              <w:pStyle w:val="TableText"/>
            </w:pPr>
            <w:r>
              <w:rPr/>
              <w:t xml:space="preserve">Сохранение блокируется с понятной ошибкой</w:t>
            </w:r>
          </w:p>
        </w:tc>
      </w:tr>
      <w:tr>
        <w:trPr>
          <w:cantSplit/>
        </w:trPr>
        <w:tc>
          <w:tcPr>
            <w:tcW w:w="1265" w:type="dxa"/>
            <w:vAlign w:val="top"/>
          </w:tcPr>
          <w:p>
            <w:pPr>
              <w:pStyle w:val="TableText"/>
            </w:pPr>
            <w:r>
              <w:rPr/>
              <w:t xml:space="preserve">AC-17</w:t>
            </w:r>
          </w:p>
        </w:tc>
        <w:tc>
          <w:tcPr>
            <w:tcW w:w="3647" w:type="dxa"/>
            <w:vAlign w:val="top"/>
          </w:tcPr>
          <w:p>
            <w:pPr>
              <w:pStyle w:val="TableText"/>
            </w:pPr>
            <w:r>
              <w:rPr/>
              <w:t xml:space="preserve">Нулевая по стоимости обязательная специальность не завершена</w:t>
            </w:r>
          </w:p>
        </w:tc>
        <w:tc>
          <w:tcPr>
            <w:tcW w:w="4588" w:type="dxa"/>
            <w:vAlign w:val="top"/>
          </w:tcPr>
          <w:p>
            <w:pPr>
              <w:pStyle w:val="TableText"/>
            </w:pPr>
            <w:r>
              <w:rPr/>
              <w:t xml:space="preserve">График не закрывается и не показывает итоговые 100%</w:t>
            </w:r>
          </w:p>
        </w:tc>
      </w:tr>
      <w:tr>
        <w:trPr>
          <w:cantSplit/>
        </w:trPr>
        <w:tc>
          <w:tcPr>
            <w:tcW w:w="1265" w:type="dxa"/>
            <w:vAlign w:val="top"/>
            <w:shd w:fill="F7FAFC"/>
          </w:tcPr>
          <w:p>
            <w:pPr>
              <w:pStyle w:val="TableText"/>
            </w:pPr>
            <w:r>
              <w:rPr/>
              <w:t xml:space="preserve">AC-18</w:t>
            </w:r>
          </w:p>
        </w:tc>
        <w:tc>
          <w:tcPr>
            <w:tcW w:w="3647" w:type="dxa"/>
            <w:vAlign w:val="top"/>
            <w:shd w:fill="F7FAFC"/>
          </w:tcPr>
          <w:p>
            <w:pPr>
              <w:pStyle w:val="TableText"/>
            </w:pPr>
            <w:r>
              <w:rPr/>
              <w:t xml:space="preserve">Специальности: 60 млн сум при 50% и 40 млн при 100%</w:t>
            </w:r>
          </w:p>
        </w:tc>
        <w:tc>
          <w:tcPr>
            <w:tcW w:w="4588" w:type="dxa"/>
            <w:vAlign w:val="top"/>
            <w:shd w:fill="F7FAFC"/>
          </w:tcPr>
          <w:p>
            <w:pPr>
              <w:pStyle w:val="TableText"/>
            </w:pPr>
            <w:r>
              <w:rPr/>
              <w:t xml:space="preserve">Общая готовность 70%; условно выполнено 70 млн, остаток 30 млн сум</w:t>
            </w:r>
          </w:p>
        </w:tc>
      </w:tr>
      <w:tr>
        <w:trPr>
          <w:cantSplit/>
        </w:trPr>
        <w:tc>
          <w:tcPr>
            <w:tcW w:w="1265" w:type="dxa"/>
            <w:vAlign w:val="top"/>
          </w:tcPr>
          <w:p>
            <w:pPr>
              <w:pStyle w:val="TableText"/>
            </w:pPr>
            <w:r>
              <w:rPr/>
              <w:t xml:space="preserve">AC-19</w:t>
            </w:r>
          </w:p>
        </w:tc>
        <w:tc>
          <w:tcPr>
            <w:tcW w:w="3647" w:type="dxa"/>
            <w:vAlign w:val="top"/>
          </w:tcPr>
          <w:p>
            <w:pPr>
              <w:pStyle w:val="TableText"/>
            </w:pPr>
            <w:r>
              <w:rPr/>
              <w:t xml:space="preserve">Сумма по строкам отличается от общей на 0,01 сума</w:t>
            </w:r>
          </w:p>
        </w:tc>
        <w:tc>
          <w:tcPr>
            <w:tcW w:w="4588" w:type="dxa"/>
            <w:vAlign w:val="top"/>
          </w:tcPr>
          <w:p>
            <w:pPr>
              <w:pStyle w:val="TableText"/>
            </w:pPr>
            <w:r>
              <w:rPr/>
              <w:t xml:space="preserve">Утверждение блокируется, разница показана</w:t>
            </w:r>
          </w:p>
        </w:tc>
      </w:tr>
      <w:tr>
        <w:trPr>
          <w:cantSplit/>
        </w:trPr>
        <w:tc>
          <w:tcPr>
            <w:tcW w:w="1265" w:type="dxa"/>
            <w:vAlign w:val="top"/>
            <w:shd w:fill="F7FAFC"/>
          </w:tcPr>
          <w:p>
            <w:pPr>
              <w:pStyle w:val="TableText"/>
            </w:pPr>
            <w:r>
              <w:rPr/>
              <w:t xml:space="preserve">AC-20</w:t>
            </w:r>
          </w:p>
        </w:tc>
        <w:tc>
          <w:tcPr>
            <w:tcW w:w="3647" w:type="dxa"/>
            <w:vAlign w:val="top"/>
            <w:shd w:fill="F7FAFC"/>
          </w:tcPr>
          <w:p>
            <w:pPr>
              <w:pStyle w:val="TableText"/>
            </w:pPr>
            <w:r>
              <w:rPr/>
              <w:t xml:space="preserve">Стоимость 100 млн, 10 активных дней, период включает 4</w:t>
            </w:r>
          </w:p>
        </w:tc>
        <w:tc>
          <w:tcPr>
            <w:tcW w:w="4588" w:type="dxa"/>
            <w:vAlign w:val="top"/>
            <w:shd w:fill="F7FAFC"/>
          </w:tcPr>
          <w:p>
            <w:pPr>
              <w:pStyle w:val="TableText"/>
            </w:pPr>
            <w:r>
              <w:rPr/>
              <w:t xml:space="preserve">Плановая стоимость периода 40 млн; перекрытие интервалов не удваивает сумму</w:t>
            </w:r>
          </w:p>
        </w:tc>
      </w:tr>
      <w:tr>
        <w:trPr>
          <w:cantSplit/>
        </w:trPr>
        <w:tc>
          <w:tcPr>
            <w:tcW w:w="1265" w:type="dxa"/>
            <w:vAlign w:val="top"/>
          </w:tcPr>
          <w:p>
            <w:pPr>
              <w:pStyle w:val="TableText"/>
            </w:pPr>
            <w:r>
              <w:rPr/>
              <w:t xml:space="preserve">AC-21</w:t>
            </w:r>
          </w:p>
        </w:tc>
        <w:tc>
          <w:tcPr>
            <w:tcW w:w="3647" w:type="dxa"/>
            <w:vAlign w:val="top"/>
          </w:tcPr>
          <w:p>
            <w:pPr>
              <w:pStyle w:val="TableText"/>
            </w:pPr>
            <w:r>
              <w:rPr/>
              <w:t xml:space="preserve">Работа выполнена 12-го, запись внесена 15-го</w:t>
            </w:r>
          </w:p>
        </w:tc>
        <w:tc>
          <w:tcPr>
            <w:tcW w:w="4588" w:type="dxa"/>
            <w:vAlign w:val="top"/>
          </w:tcPr>
          <w:p>
            <w:pPr>
              <w:pStyle w:val="TableText"/>
            </w:pPr>
            <w:r>
              <w:rPr/>
              <w:t xml:space="preserve">Уточнённый отчёт на 13-е видит выполнение; режим знания на 13-е — нет</w:t>
            </w:r>
          </w:p>
        </w:tc>
      </w:tr>
      <w:tr>
        <w:trPr>
          <w:cantSplit/>
        </w:trPr>
        <w:tc>
          <w:tcPr>
            <w:tcW w:w="1265" w:type="dxa"/>
            <w:vAlign w:val="top"/>
            <w:shd w:fill="F7FAFC"/>
          </w:tcPr>
          <w:p>
            <w:pPr>
              <w:pStyle w:val="TableText"/>
            </w:pPr>
            <w:r>
              <w:rPr/>
              <w:t xml:space="preserve">AC-22</w:t>
            </w:r>
          </w:p>
        </w:tc>
        <w:tc>
          <w:tcPr>
            <w:tcW w:w="3647" w:type="dxa"/>
            <w:vAlign w:val="top"/>
            <w:shd w:fill="F7FAFC"/>
          </w:tcPr>
          <w:p>
            <w:pPr>
              <w:pStyle w:val="TableText"/>
            </w:pPr>
            <w:r>
              <w:rPr/>
              <w:t xml:space="preserve">После планёрки изменили факты и стоимость</w:t>
            </w:r>
          </w:p>
        </w:tc>
        <w:tc>
          <w:tcPr>
            <w:tcW w:w="4588" w:type="dxa"/>
            <w:vAlign w:val="top"/>
            <w:shd w:fill="F7FAFC"/>
          </w:tcPr>
          <w:p>
            <w:pPr>
              <w:pStyle w:val="TableText"/>
            </w:pPr>
            <w:r>
              <w:rPr/>
              <w:t xml:space="preserve">Сохранённый снимок не меняется; новый динамический отчёт может отличаться</w:t>
            </w:r>
          </w:p>
        </w:tc>
      </w:tr>
      <w:tr>
        <w:trPr>
          <w:cantSplit/>
        </w:trPr>
        <w:tc>
          <w:tcPr>
            <w:tcW w:w="1265" w:type="dxa"/>
            <w:vAlign w:val="top"/>
          </w:tcPr>
          <w:p>
            <w:pPr>
              <w:pStyle w:val="TableText"/>
            </w:pPr>
            <w:r>
              <w:rPr/>
              <w:t xml:space="preserve">AC-23</w:t>
            </w:r>
          </w:p>
        </w:tc>
        <w:tc>
          <w:tcPr>
            <w:tcW w:w="3647" w:type="dxa"/>
            <w:vAlign w:val="top"/>
          </w:tcPr>
          <w:p>
            <w:pPr>
              <w:pStyle w:val="TableText"/>
            </w:pPr>
            <w:r>
              <w:rPr/>
              <w:t xml:space="preserve">Исторические проценты не загружены</w:t>
            </w:r>
          </w:p>
        </w:tc>
        <w:tc>
          <w:tcPr>
            <w:tcW w:w="4588" w:type="dxa"/>
            <w:vAlign w:val="top"/>
          </w:tcPr>
          <w:p>
            <w:pPr>
              <w:pStyle w:val="TableText"/>
            </w:pPr>
            <w:r>
              <w:rPr/>
              <w:t xml:space="preserve">До границы истории выводится отсутствие данных, не выдуманная динамика</w:t>
            </w:r>
          </w:p>
        </w:tc>
      </w:tr>
      <w:tr>
        <w:trPr>
          <w:cantSplit/>
        </w:trPr>
        <w:tc>
          <w:tcPr>
            <w:tcW w:w="1265" w:type="dxa"/>
            <w:vAlign w:val="top"/>
            <w:shd w:fill="F7FAFC"/>
          </w:tcPr>
          <w:p>
            <w:pPr>
              <w:pStyle w:val="TableText"/>
            </w:pPr>
            <w:r>
              <w:rPr/>
              <w:t xml:space="preserve">AC-24</w:t>
            </w:r>
          </w:p>
        </w:tc>
        <w:tc>
          <w:tcPr>
            <w:tcW w:w="3647" w:type="dxa"/>
            <w:vAlign w:val="top"/>
            <w:shd w:fill="F7FAFC"/>
          </w:tcPr>
          <w:p>
            <w:pPr>
              <w:pStyle w:val="TableText"/>
            </w:pPr>
            <w:r>
              <w:rPr/>
              <w:t xml:space="preserve">График содержит много моделей, событий и специальностей</w:t>
            </w:r>
          </w:p>
        </w:tc>
        <w:tc>
          <w:tcPr>
            <w:tcW w:w="4588" w:type="dxa"/>
            <w:vAlign w:val="top"/>
            <w:shd w:fill="F7FAFC"/>
          </w:tcPr>
          <w:p>
            <w:pPr>
              <w:pStyle w:val="TableText"/>
            </w:pPr>
            <w:r>
              <w:rPr/>
              <w:t xml:space="preserve">Портфельная сумма и число графиков не умножаются из-за соединения таблиц</w:t>
            </w:r>
          </w:p>
        </w:tc>
      </w:tr>
      <w:tr>
        <w:trPr>
          <w:cantSplit/>
        </w:trPr>
        <w:tc>
          <w:tcPr>
            <w:tcW w:w="1265" w:type="dxa"/>
            <w:vAlign w:val="top"/>
          </w:tcPr>
          <w:p>
            <w:pPr>
              <w:pStyle w:val="TableText"/>
            </w:pPr>
            <w:r>
              <w:rPr/>
              <w:t xml:space="preserve">AC-25</w:t>
            </w:r>
          </w:p>
        </w:tc>
        <w:tc>
          <w:tcPr>
            <w:tcW w:w="3647" w:type="dxa"/>
            <w:vAlign w:val="top"/>
          </w:tcPr>
          <w:p>
            <w:pPr>
              <w:pStyle w:val="TableText"/>
            </w:pPr>
            <w:r>
              <w:rPr/>
              <w:t xml:space="preserve">Начальник отдела открывает чужой недоступный график через прямую ссылку/API</w:t>
            </w:r>
          </w:p>
        </w:tc>
        <w:tc>
          <w:tcPr>
            <w:tcW w:w="4588" w:type="dxa"/>
            <w:vAlign w:val="top"/>
          </w:tcPr>
          <w:p>
            <w:pPr>
              <w:pStyle w:val="TableText"/>
            </w:pPr>
            <w:r>
              <w:rPr/>
              <w:t xml:space="preserve">Доступ отклонён; выгрузка и агрегаты также не раскрывают данные</w:t>
            </w:r>
          </w:p>
        </w:tc>
      </w:tr>
      <w:tr>
        <w:trPr>
          <w:cantSplit/>
        </w:trPr>
        <w:tc>
          <w:tcPr>
            <w:tcW w:w="1265" w:type="dxa"/>
            <w:vAlign w:val="top"/>
            <w:shd w:fill="F7FAFC"/>
          </w:tcPr>
          <w:p>
            <w:pPr>
              <w:pStyle w:val="TableText"/>
            </w:pPr>
            <w:r>
              <w:rPr/>
              <w:t xml:space="preserve">AC-26</w:t>
            </w:r>
          </w:p>
        </w:tc>
        <w:tc>
          <w:tcPr>
            <w:tcW w:w="3647" w:type="dxa"/>
            <w:vAlign w:val="top"/>
            <w:shd w:fill="F7FAFC"/>
          </w:tcPr>
          <w:p>
            <w:pPr>
              <w:pStyle w:val="TableText"/>
            </w:pPr>
            <w:r>
              <w:rPr/>
              <w:t xml:space="preserve">Повторная загрузка идентичного Excel</w:t>
            </w:r>
          </w:p>
        </w:tc>
        <w:tc>
          <w:tcPr>
            <w:tcW w:w="4588" w:type="dxa"/>
            <w:vAlign w:val="top"/>
            <w:shd w:fill="F7FAFC"/>
          </w:tcPr>
          <w:p>
            <w:pPr>
              <w:pStyle w:val="TableText"/>
            </w:pPr>
            <w:r>
              <w:rPr/>
              <w:t xml:space="preserve">Дубликаты не создаются; итог сообщает об отсутствии изменений</w:t>
            </w:r>
          </w:p>
        </w:tc>
      </w:tr>
      <w:tr>
        <w:trPr>
          <w:cantSplit/>
        </w:trPr>
        <w:tc>
          <w:tcPr>
            <w:tcW w:w="1265" w:type="dxa"/>
            <w:vAlign w:val="top"/>
          </w:tcPr>
          <w:p>
            <w:pPr>
              <w:pStyle w:val="TableText"/>
            </w:pPr>
            <w:r>
              <w:rPr/>
              <w:t xml:space="preserve">AC-27</w:t>
            </w:r>
          </w:p>
        </w:tc>
        <w:tc>
          <w:tcPr>
            <w:tcW w:w="3647" w:type="dxa"/>
            <w:vAlign w:val="top"/>
          </w:tcPr>
          <w:p>
            <w:pPr>
              <w:pStyle w:val="TableText"/>
            </w:pPr>
            <w:r>
              <w:rPr/>
              <w:t xml:space="preserve">Ошибка в одной строке участия</w:t>
            </w:r>
          </w:p>
        </w:tc>
        <w:tc>
          <w:tcPr>
            <w:tcW w:w="4588" w:type="dxa"/>
            <w:vAlign w:val="top"/>
          </w:tcPr>
          <w:p>
            <w:pPr>
              <w:pStyle w:val="TableText"/>
            </w:pPr>
            <w:r>
              <w:rPr/>
              <w:t xml:space="preserve">В режиме полного пакета ничего не импортируется; в частичном режиме пропускается вся группа целостности</w:t>
            </w:r>
          </w:p>
        </w:tc>
      </w:tr>
      <w:tr>
        <w:trPr>
          <w:cantSplit/>
        </w:trPr>
        <w:tc>
          <w:tcPr>
            <w:tcW w:w="1265" w:type="dxa"/>
            <w:vAlign w:val="top"/>
            <w:shd w:fill="F7FAFC"/>
          </w:tcPr>
          <w:p>
            <w:pPr>
              <w:pStyle w:val="TableText"/>
            </w:pPr>
            <w:r>
              <w:rPr/>
              <w:t xml:space="preserve">AC-28</w:t>
            </w:r>
          </w:p>
        </w:tc>
        <w:tc>
          <w:tcPr>
            <w:tcW w:w="3647" w:type="dxa"/>
            <w:vAlign w:val="top"/>
            <w:shd w:fill="F7FAFC"/>
          </w:tcPr>
          <w:p>
            <w:pPr>
              <w:pStyle w:val="TableText"/>
            </w:pPr>
            <w:r>
              <w:rPr/>
              <w:t xml:space="preserve">Экспорт кодов 062 и 06-2</w:t>
            </w:r>
          </w:p>
        </w:tc>
        <w:tc>
          <w:tcPr>
            <w:tcW w:w="4588" w:type="dxa"/>
            <w:vAlign w:val="top"/>
            <w:shd w:fill="F7FAFC"/>
          </w:tcPr>
          <w:p>
            <w:pPr>
              <w:pStyle w:val="TableText"/>
            </w:pPr>
            <w:r>
              <w:rPr/>
              <w:t xml:space="preserve">Excel сохраняет строки буквально, без удаления нуля или превращения в дату</w:t>
            </w:r>
          </w:p>
        </w:tc>
      </w:tr>
      <w:tr>
        <w:trPr>
          <w:cantSplit/>
        </w:trPr>
        <w:tc>
          <w:tcPr>
            <w:tcW w:w="1265" w:type="dxa"/>
            <w:vAlign w:val="top"/>
          </w:tcPr>
          <w:p>
            <w:pPr>
              <w:pStyle w:val="TableText"/>
            </w:pPr>
            <w:r>
              <w:rPr/>
              <w:t xml:space="preserve">AC-29</w:t>
            </w:r>
          </w:p>
        </w:tc>
        <w:tc>
          <w:tcPr>
            <w:tcW w:w="3647" w:type="dxa"/>
            <w:vAlign w:val="top"/>
          </w:tcPr>
          <w:p>
            <w:pPr>
              <w:pStyle w:val="TableText"/>
            </w:pPr>
            <w:r>
              <w:rPr/>
              <w:t xml:space="preserve">Типовой график по образцу</w:t>
            </w:r>
          </w:p>
        </w:tc>
        <w:tc>
          <w:tcPr>
            <w:tcW w:w="4588" w:type="dxa"/>
            <w:vAlign w:val="top"/>
          </w:tcPr>
          <w:p>
            <w:pPr>
              <w:pStyle w:val="TableText"/>
            </w:pPr>
            <w:r>
              <w:rPr/>
              <w:t xml:space="preserve">Печать на А4, альбомная; все реквизиты и даты читаются, суммы и стрелки соответствуют данным</w:t>
            </w:r>
          </w:p>
        </w:tc>
      </w:tr>
      <w:tr>
        <w:trPr>
          <w:cantSplit/>
        </w:trPr>
        <w:tc>
          <w:tcPr>
            <w:tcW w:w="1265" w:type="dxa"/>
            <w:vAlign w:val="top"/>
            <w:shd w:fill="F7FAFC"/>
          </w:tcPr>
          <w:p>
            <w:pPr>
              <w:pStyle w:val="TableText"/>
            </w:pPr>
            <w:r>
              <w:rPr/>
              <w:t xml:space="preserve">AC-30</w:t>
            </w:r>
          </w:p>
        </w:tc>
        <w:tc>
          <w:tcPr>
            <w:tcW w:w="3647" w:type="dxa"/>
            <w:vAlign w:val="top"/>
            <w:shd w:fill="F7FAFC"/>
          </w:tcPr>
          <w:p>
            <w:pPr>
              <w:pStyle w:val="TableText"/>
            </w:pPr>
            <w:r>
              <w:rPr/>
              <w:t xml:space="preserve">Очень большой график</w:t>
            </w:r>
          </w:p>
        </w:tc>
        <w:tc>
          <w:tcPr>
            <w:tcW w:w="4588" w:type="dxa"/>
            <w:vAlign w:val="top"/>
            <w:shd w:fill="F7FAFC"/>
          </w:tcPr>
          <w:p>
            <w:pPr>
              <w:pStyle w:val="TableText"/>
            </w:pPr>
            <w:r>
              <w:rPr/>
              <w:t xml:space="preserve">Формируются продолжения с повторённой шапкой; строки не исчезают, шрифт ≥ 8 pt</w:t>
            </w:r>
          </w:p>
        </w:tc>
      </w:tr>
      <w:tr>
        <w:trPr>
          <w:cantSplit/>
        </w:trPr>
        <w:tc>
          <w:tcPr>
            <w:tcW w:w="1265" w:type="dxa"/>
            <w:vAlign w:val="top"/>
          </w:tcPr>
          <w:p>
            <w:pPr>
              <w:pStyle w:val="TableText"/>
            </w:pPr>
            <w:r>
              <w:rPr/>
              <w:t xml:space="preserve">AC-31</w:t>
            </w:r>
          </w:p>
        </w:tc>
        <w:tc>
          <w:tcPr>
            <w:tcW w:w="3647" w:type="dxa"/>
            <w:vAlign w:val="top"/>
          </w:tcPr>
          <w:p>
            <w:pPr>
              <w:pStyle w:val="TableText"/>
            </w:pPr>
            <w:r>
              <w:rPr/>
              <w:t xml:space="preserve">Изменение факта двумя сотрудниками одновременно</w:t>
            </w:r>
          </w:p>
        </w:tc>
        <w:tc>
          <w:tcPr>
            <w:tcW w:w="4588" w:type="dxa"/>
            <w:vAlign w:val="top"/>
          </w:tcPr>
          <w:p>
            <w:pPr>
              <w:pStyle w:val="TableText"/>
            </w:pPr>
            <w:r>
              <w:rPr/>
              <w:t xml:space="preserve">Второй видит конфликт версии; первый ввод не потерян</w:t>
            </w:r>
          </w:p>
        </w:tc>
      </w:tr>
      <w:tr>
        <w:trPr>
          <w:cantSplit/>
        </w:trPr>
        <w:tc>
          <w:tcPr>
            <w:tcW w:w="1265" w:type="dxa"/>
            <w:vAlign w:val="top"/>
            <w:shd w:fill="F7FAFC"/>
          </w:tcPr>
          <w:p>
            <w:pPr>
              <w:pStyle w:val="TableText"/>
            </w:pPr>
            <w:r>
              <w:rPr/>
              <w:t xml:space="preserve">AC-32</w:t>
            </w:r>
          </w:p>
        </w:tc>
        <w:tc>
          <w:tcPr>
            <w:tcW w:w="3647" w:type="dxa"/>
            <w:vAlign w:val="top"/>
            <w:shd w:fill="F7FAFC"/>
          </w:tcPr>
          <w:p>
            <w:pPr>
              <w:pStyle w:val="TableText"/>
            </w:pPr>
            <w:r>
              <w:rPr/>
              <w:t xml:space="preserve">Отозван доступ после подготовки экспорта</w:t>
            </w:r>
          </w:p>
        </w:tc>
        <w:tc>
          <w:tcPr>
            <w:tcW w:w="4588" w:type="dxa"/>
            <w:vAlign w:val="top"/>
            <w:shd w:fill="F7FAFC"/>
          </w:tcPr>
          <w:p>
            <w:pPr>
              <w:pStyle w:val="TableText"/>
            </w:pPr>
            <w:r>
              <w:rPr/>
              <w:t xml:space="preserve">Скачать файл с недоступными данными невозможно</w:t>
            </w:r>
          </w:p>
        </w:tc>
      </w:tr>
      <w:tr>
        <w:trPr>
          <w:cantSplit/>
        </w:trPr>
        <w:tc>
          <w:tcPr>
            <w:tcW w:w="1265" w:type="dxa"/>
            <w:vAlign w:val="top"/>
          </w:tcPr>
          <w:p>
            <w:pPr>
              <w:pStyle w:val="TableText"/>
            </w:pPr>
            <w:r>
              <w:rPr/>
              <w:t xml:space="preserve">AC-33</w:t>
            </w:r>
          </w:p>
        </w:tc>
        <w:tc>
          <w:tcPr>
            <w:tcW w:w="3647" w:type="dxa"/>
            <w:vAlign w:val="top"/>
          </w:tcPr>
          <w:p>
            <w:pPr>
              <w:pStyle w:val="TableText"/>
            </w:pPr>
            <w:r>
              <w:rPr/>
              <w:t xml:space="preserve">Портфель под целевой нагрузкой</w:t>
            </w:r>
          </w:p>
        </w:tc>
        <w:tc>
          <w:tcPr>
            <w:tcW w:w="4588" w:type="dxa"/>
            <w:vAlign w:val="top"/>
          </w:tcPr>
          <w:p>
            <w:pPr>
              <w:pStyle w:val="TableText"/>
            </w:pPr>
            <w:r>
              <w:rPr/>
              <w:t xml:space="preserve">Выполняются NFR-01–06 с протоколом стенда и p95</w:t>
            </w:r>
          </w:p>
        </w:tc>
      </w:tr>
      <w:tr>
        <w:trPr>
          <w:cantSplit/>
        </w:trPr>
        <w:tc>
          <w:tcPr>
            <w:tcW w:w="1265" w:type="dxa"/>
            <w:vAlign w:val="top"/>
            <w:shd w:fill="F7FAFC"/>
          </w:tcPr>
          <w:p>
            <w:pPr>
              <w:pStyle w:val="TableText"/>
            </w:pPr>
            <w:r>
              <w:rPr/>
              <w:t xml:space="preserve">AC-34</w:t>
            </w:r>
          </w:p>
        </w:tc>
        <w:tc>
          <w:tcPr>
            <w:tcW w:w="3647" w:type="dxa"/>
            <w:vAlign w:val="top"/>
            <w:shd w:fill="F7FAFC"/>
          </w:tcPr>
          <w:p>
            <w:pPr>
              <w:pStyle w:val="TableText"/>
            </w:pPr>
            <w:r>
              <w:rPr/>
              <w:t xml:space="preserve">Восстановление из резервной копии</w:t>
            </w:r>
          </w:p>
        </w:tc>
        <w:tc>
          <w:tcPr>
            <w:tcW w:w="4588" w:type="dxa"/>
            <w:vAlign w:val="top"/>
            <w:shd w:fill="F7FAFC"/>
          </w:tcPr>
          <w:p>
            <w:pPr>
              <w:pStyle w:val="TableText"/>
            </w:pPr>
            <w:r>
              <w:rPr/>
              <w:t xml:space="preserve">Планы, факт, история и снимки доступны в пределах RPO/RTO</w:t>
            </w:r>
          </w:p>
        </w:tc>
      </w:tr>
    </w:tbl>
    <w:p>
      <w:pPr>
        <w:pStyle w:val="TableAfter"/>
      </w:pPr>
    </w:p>
    <w:p>
      <w:pPr>
        <w:pStyle w:val="Normal"/>
      </w:pPr>
      <w:r>
        <w:rPr/>
        <w:t xml:space="preserve">Дополнительно проверяются связи SS и FF с лагом, несколько передач одного события, завершение с опозданием, отмена/приостановка, импорт ведущих нулей, календарь на границе года, денежное округление, пустые выборки и отсутствие опубликованной модели. Эталонные ожидаемые данные утверждаются на пилотном наборе, а не выводятся из самого алгоритма приложения.</w:t>
      </w:r>
    </w:p>
    <w:p>
      <w:pPr>
        <w:pStyle w:val="Heading1"/>
      </w:pPr>
      <w:bookmarkStart w:id="17" w:name="section_17"/>
      <w:r>
        <w:rPr/>
        <w:t xml:space="preserve">17. Порядок реализации и запуск</w:t>
      </w:r>
      <w:bookmarkEnd w:id="17"/>
    </w:p>
    <w:tbl>
      <w:tblPr>
        <w:tblW w:w="9500" w:type="dxa"/>
        <w:tblLayout w:type="fixed"/>
        <w:tblBorders>
          <w:top w:val="single" w:sz="4" w:color="CBD6DF"/>
          <w:left w:val="single" w:sz="4" w:color="CBD6DF"/>
          <w:bottom w:val="single" w:sz="4" w:color="CBD6DF"/>
          <w:right w:val="single" w:sz="4" w:color="CBD6DF"/>
          <w:insideH w:val="single" w:sz="4" w:color="CBD6DF"/>
          <w:insideV w:val="single" w:sz="4" w:color="CBD6DF"/>
        </w:tblBorders>
        <w:tblCellMar>
          <w:top w:w="70" w:type="dxa"/>
          <w:bottom w:w="70" w:type="dxa"/>
          <w:left w:w="85" w:type="dxa"/>
          <w:right w:w="85" w:type="dxa"/>
        </w:tblCellMar>
      </w:tblPr>
      <w:tblGrid>
        <w:gridCol w:w="2025"/>
        <w:gridCol w:w="3926"/>
        <w:gridCol w:w="3549"/>
      </w:tblGrid>
      <w:tr>
        <w:trPr>
          <w:cantSplit/>
          <w:tblHeader/>
        </w:trPr>
        <w:tc>
          <w:tcPr>
            <w:tcW w:w="2025" w:type="dxa"/>
            <w:vAlign w:val="top"/>
            <w:shd w:fill="E7F0F5"/>
          </w:tcPr>
          <w:p>
            <w:pPr>
              <w:pStyle w:val="TableHeader"/>
            </w:pPr>
            <w:r>
              <w:rPr/>
              <w:t xml:space="preserve">Этап</w:t>
            </w:r>
          </w:p>
        </w:tc>
        <w:tc>
          <w:tcPr>
            <w:tcW w:w="3926" w:type="dxa"/>
            <w:vAlign w:val="top"/>
            <w:shd w:fill="E7F0F5"/>
          </w:tcPr>
          <w:p>
            <w:pPr>
              <w:pStyle w:val="TableHeader"/>
            </w:pPr>
            <w:r>
              <w:rPr/>
              <w:t xml:space="preserve">Результат</w:t>
            </w:r>
          </w:p>
        </w:tc>
        <w:tc>
          <w:tcPr>
            <w:tcW w:w="3549" w:type="dxa"/>
            <w:vAlign w:val="top"/>
            <w:shd w:fill="E7F0F5"/>
          </w:tcPr>
          <w:p>
            <w:pPr>
              <w:pStyle w:val="TableHeader"/>
            </w:pPr>
            <w:r>
              <w:rPr/>
              <w:t xml:space="preserve">Условие завершения</w:t>
            </w:r>
          </w:p>
        </w:tc>
      </w:tr>
      <w:tr>
        <w:trPr>
          <w:cantSplit/>
        </w:trPr>
        <w:tc>
          <w:tcPr>
            <w:tcW w:w="2025" w:type="dxa"/>
            <w:vAlign w:val="top"/>
          </w:tcPr>
          <w:p>
            <w:pPr>
              <w:pStyle w:val="TableText"/>
            </w:pPr>
            <w:r>
              <w:rPr/>
              <w:t xml:space="preserve">1. Подготовка предметных данных</w:t>
            </w:r>
          </w:p>
        </w:tc>
        <w:tc>
          <w:tcPr>
            <w:tcW w:w="3926" w:type="dxa"/>
            <w:vAlign w:val="top"/>
          </w:tcPr>
          <w:p>
            <w:pPr>
              <w:pStyle w:val="TableText"/>
            </w:pPr>
            <w:r>
              <w:rPr/>
              <w:t xml:space="preserve">Справочники, черновик модели 23-2, формат импорта, схема календаря</w:t>
            </w:r>
          </w:p>
        </w:tc>
        <w:tc>
          <w:tcPr>
            <w:tcW w:w="3549" w:type="dxa"/>
            <w:vAlign w:val="top"/>
          </w:tcPr>
          <w:p>
            <w:pPr>
              <w:pStyle w:val="TableText"/>
            </w:pPr>
            <w:r>
              <w:rPr/>
              <w:t xml:space="preserve">Методолог проверил связи пилотной модели; зафиксированы исходные данные</w:t>
            </w:r>
          </w:p>
        </w:tc>
      </w:tr>
      <w:tr>
        <w:trPr>
          <w:cantSplit/>
        </w:trPr>
        <w:tc>
          <w:tcPr>
            <w:tcW w:w="2025" w:type="dxa"/>
            <w:vAlign w:val="top"/>
            <w:shd w:fill="F7FAFC"/>
          </w:tcPr>
          <w:p>
            <w:pPr>
              <w:pStyle w:val="TableText"/>
            </w:pPr>
            <w:r>
              <w:rPr/>
              <w:t xml:space="preserve">2. Проектирование</w:t>
            </w:r>
          </w:p>
        </w:tc>
        <w:tc>
          <w:tcPr>
            <w:tcW w:w="3926" w:type="dxa"/>
            <w:vAlign w:val="top"/>
            <w:shd w:fill="F7FAFC"/>
          </w:tcPr>
          <w:p>
            <w:pPr>
              <w:pStyle w:val="TableText"/>
            </w:pPr>
            <w:r>
              <w:rPr/>
              <w:t xml:space="preserve">Прототип карточки, Ганта, ввода факта, отчёта и А4; схема данных</w:t>
            </w:r>
          </w:p>
        </w:tc>
        <w:tc>
          <w:tcPr>
            <w:tcW w:w="3549" w:type="dxa"/>
            <w:vAlign w:val="top"/>
            <w:shd w:fill="F7FAFC"/>
          </w:tcPr>
          <w:p>
            <w:pPr>
              <w:pStyle w:val="TableText"/>
            </w:pPr>
            <w:r>
              <w:rPr/>
              <w:t xml:space="preserve">Основные сценарии пройдены ГИПом и координацией; нет неразрешённых правил расчёта</w:t>
            </w:r>
          </w:p>
        </w:tc>
      </w:tr>
      <w:tr>
        <w:trPr>
          <w:cantSplit/>
        </w:trPr>
        <w:tc>
          <w:tcPr>
            <w:tcW w:w="2025" w:type="dxa"/>
            <w:vAlign w:val="top"/>
          </w:tcPr>
          <w:p>
            <w:pPr>
              <w:pStyle w:val="TableText"/>
            </w:pPr>
            <w:r>
              <w:rPr/>
              <w:t xml:space="preserve">3. Планирование</w:t>
            </w:r>
          </w:p>
        </w:tc>
        <w:tc>
          <w:tcPr>
            <w:tcW w:w="3926" w:type="dxa"/>
            <w:vAlign w:val="top"/>
          </w:tcPr>
          <w:p>
            <w:pPr>
              <w:pStyle w:val="TableText"/>
            </w:pPr>
            <w:r>
              <w:rPr/>
              <w:t xml:space="preserve">Иерархия, модели, ручные сроки, CPM, стоимость, версии и согласование</w:t>
            </w:r>
          </w:p>
        </w:tc>
        <w:tc>
          <w:tcPr>
            <w:tcW w:w="3549" w:type="dxa"/>
            <w:vAlign w:val="top"/>
          </w:tcPr>
          <w:p>
            <w:pPr>
              <w:pStyle w:val="TableText"/>
            </w:pPr>
            <w:r>
              <w:rPr/>
              <w:t xml:space="preserve">AC-01–15, AC-19 проходят</w:t>
            </w:r>
          </w:p>
        </w:tc>
      </w:tr>
      <w:tr>
        <w:trPr>
          <w:cantSplit/>
        </w:trPr>
        <w:tc>
          <w:tcPr>
            <w:tcW w:w="2025" w:type="dxa"/>
            <w:vAlign w:val="top"/>
            <w:shd w:fill="F7FAFC"/>
          </w:tcPr>
          <w:p>
            <w:pPr>
              <w:pStyle w:val="TableText"/>
            </w:pPr>
            <w:r>
              <w:rPr/>
              <w:t xml:space="preserve">4. Контроль и отчётность</w:t>
            </w:r>
          </w:p>
        </w:tc>
        <w:tc>
          <w:tcPr>
            <w:tcW w:w="3926" w:type="dxa"/>
            <w:vAlign w:val="top"/>
            <w:shd w:fill="F7FAFC"/>
          </w:tcPr>
          <w:p>
            <w:pPr>
              <w:pStyle w:val="TableText"/>
            </w:pPr>
            <w:r>
              <w:rPr/>
              <w:t xml:space="preserve">Факт, история, отчёты, загрузка, уведомления</w:t>
            </w:r>
          </w:p>
        </w:tc>
        <w:tc>
          <w:tcPr>
            <w:tcW w:w="3549" w:type="dxa"/>
            <w:vAlign w:val="top"/>
            <w:shd w:fill="F7FAFC"/>
          </w:tcPr>
          <w:p>
            <w:pPr>
              <w:pStyle w:val="TableText"/>
            </w:pPr>
            <w:r>
              <w:rPr/>
              <w:t xml:space="preserve">AC-16–24 и проверки формул проходят</w:t>
            </w:r>
          </w:p>
        </w:tc>
      </w:tr>
      <w:tr>
        <w:trPr>
          <w:cantSplit/>
        </w:trPr>
        <w:tc>
          <w:tcPr>
            <w:tcW w:w="2025" w:type="dxa"/>
            <w:vAlign w:val="top"/>
          </w:tcPr>
          <w:p>
            <w:pPr>
              <w:pStyle w:val="TableText"/>
            </w:pPr>
            <w:r>
              <w:rPr/>
              <w:t xml:space="preserve">5. Обмен и эксплуатация</w:t>
            </w:r>
          </w:p>
        </w:tc>
        <w:tc>
          <w:tcPr>
            <w:tcW w:w="3926" w:type="dxa"/>
            <w:vAlign w:val="top"/>
          </w:tcPr>
          <w:p>
            <w:pPr>
              <w:pStyle w:val="TableText"/>
            </w:pPr>
            <w:r>
              <w:rPr/>
              <w:t xml:space="preserve">Excel, печать, права, импорт, фоновые задания, резервирование</w:t>
            </w:r>
          </w:p>
        </w:tc>
        <w:tc>
          <w:tcPr>
            <w:tcW w:w="3549" w:type="dxa"/>
            <w:vAlign w:val="top"/>
          </w:tcPr>
          <w:p>
            <w:pPr>
              <w:pStyle w:val="TableText"/>
            </w:pPr>
            <w:r>
              <w:rPr/>
              <w:t xml:space="preserve">AC-25–34 проходят</w:t>
            </w:r>
          </w:p>
        </w:tc>
      </w:tr>
      <w:tr>
        <w:trPr>
          <w:cantSplit/>
        </w:trPr>
        <w:tc>
          <w:tcPr>
            <w:tcW w:w="2025" w:type="dxa"/>
            <w:vAlign w:val="top"/>
            <w:shd w:fill="F7FAFC"/>
          </w:tcPr>
          <w:p>
            <w:pPr>
              <w:pStyle w:val="TableText"/>
            </w:pPr>
            <w:r>
              <w:rPr/>
              <w:t xml:space="preserve">6. Пилот</w:t>
            </w:r>
          </w:p>
        </w:tc>
        <w:tc>
          <w:tcPr>
            <w:tcW w:w="3926" w:type="dxa"/>
            <w:vAlign w:val="top"/>
            <w:shd w:fill="F7FAFC"/>
          </w:tcPr>
          <w:p>
            <w:pPr>
              <w:pStyle w:val="TableText"/>
            </w:pPr>
            <w:r>
              <w:rPr/>
              <w:t xml:space="preserve">Минимум 3 объекта, 30 графиков, разные специальности, хотя бы один перенос и один исторический отчёт</w:t>
            </w:r>
          </w:p>
        </w:tc>
        <w:tc>
          <w:tcPr>
            <w:tcW w:w="3549" w:type="dxa"/>
            <w:vAlign w:val="top"/>
            <w:shd w:fill="F7FAFC"/>
          </w:tcPr>
          <w:p>
            <w:pPr>
              <w:pStyle w:val="TableText"/>
            </w:pPr>
            <w:r>
              <w:rPr/>
              <w:t xml:space="preserve">Две планёрки проведены по данным системы; замечания, мешающие работе, устранены</w:t>
            </w:r>
          </w:p>
        </w:tc>
      </w:tr>
      <w:tr>
        <w:trPr>
          <w:cantSplit/>
        </w:trPr>
        <w:tc>
          <w:tcPr>
            <w:tcW w:w="2025" w:type="dxa"/>
            <w:vAlign w:val="top"/>
          </w:tcPr>
          <w:p>
            <w:pPr>
              <w:pStyle w:val="TableText"/>
            </w:pPr>
            <w:r>
              <w:rPr/>
              <w:t xml:space="preserve">7. Ввод</w:t>
            </w:r>
          </w:p>
        </w:tc>
        <w:tc>
          <w:tcPr>
            <w:tcW w:w="3926" w:type="dxa"/>
            <w:vAlign w:val="top"/>
          </w:tcPr>
          <w:p>
            <w:pPr>
              <w:pStyle w:val="TableText"/>
            </w:pPr>
            <w:r>
              <w:rPr/>
              <w:t xml:space="preserve">Проверенные справочники, перенос активного портфеля, обучение, поддержка</w:t>
            </w:r>
          </w:p>
        </w:tc>
        <w:tc>
          <w:tcPr>
            <w:tcW w:w="3549" w:type="dxa"/>
            <w:vAlign w:val="top"/>
          </w:tcPr>
          <w:p>
            <w:pPr>
              <w:pStyle w:val="TableText"/>
            </w:pPr>
            <w:r>
              <w:rPr/>
              <w:t xml:space="preserve">Сверены количества и суммы, назначены владельцы данных и администраторы</w:t>
            </w:r>
          </w:p>
        </w:tc>
      </w:tr>
    </w:tbl>
    <w:p>
      <w:pPr>
        <w:pStyle w:val="TableAfter"/>
      </w:pPr>
    </w:p>
    <w:p>
      <w:pPr>
        <w:pStyle w:val="Normal"/>
      </w:pPr>
      <w:r>
        <w:rPr/>
        <w:t xml:space="preserve">Календарные сроки и бюджет разработки в PRD не фиксируются: состав команды и платформа размещения неизвестны. После технической декомпозиции оценивается каждый этап, отдельно — подготовка сетевых моделей и очистка старых данных. Полный каталог моделей может переноситься поэтапно; запуск конкретного графика требует опубликованной модели, на которой он основан.</w:t>
      </w:r>
    </w:p>
    <w:p>
      <w:pPr>
        <w:pStyle w:val="Heading2"/>
      </w:pPr>
      <w:r>
        <w:rPr/>
        <w:t xml:space="preserve">17.1. Готовность к производственному запуску</w:t>
      </w:r>
    </w:p>
    <w:p>
      <w:pPr>
        <w:pStyle w:val="ListParagraph"/>
      </w:pPr>
      <w:r>
        <w:rPr/>
        <w:t xml:space="preserve">• </w:t>
      </w:r>
      <w:r>
        <w:rPr/>
        <w:t xml:space="preserve">Все требования P0 реализованы; критические ошибки приёмки устранены.</w:t>
      </w:r>
    </w:p>
    <w:p>
      <w:pPr>
        <w:pStyle w:val="ListParagraph"/>
      </w:pPr>
      <w:r>
        <w:rPr/>
        <w:t xml:space="preserve">• </w:t>
      </w:r>
      <w:r>
        <w:rPr/>
        <w:t xml:space="preserve">Для пилотных объектов проверены календарь, модели, отделы, сотрудники и суммы.</w:t>
      </w:r>
    </w:p>
    <w:p>
      <w:pPr>
        <w:pStyle w:val="ListParagraph"/>
      </w:pPr>
      <w:r>
        <w:rPr/>
        <w:t xml:space="preserve">• </w:t>
      </w:r>
      <w:r>
        <w:rPr/>
        <w:t xml:space="preserve">Утверждённые первоначальные планы перенесены с указанием происхождения; импорт не выдаёт историческое решение за новое утверждение директора.</w:t>
      </w:r>
    </w:p>
    <w:p>
      <w:pPr>
        <w:pStyle w:val="ListParagraph"/>
      </w:pPr>
      <w:r>
        <w:rPr/>
        <w:t xml:space="preserve">• </w:t>
      </w:r>
      <w:r>
        <w:rPr/>
        <w:t xml:space="preserve">Для переноса ранее утверждённых планов предусмотрен отдельный режим миграции: координация указывает исходную дату, лицо и основание; технический директор подтверждает пакет, а система различает исходное утверждение и время загрузки.</w:t>
      </w:r>
    </w:p>
    <w:p>
      <w:pPr>
        <w:pStyle w:val="ListParagraph"/>
      </w:pPr>
      <w:r>
        <w:rPr/>
        <w:t xml:space="preserve">• </w:t>
      </w:r>
      <w:r>
        <w:rPr/>
        <w:t xml:space="preserve">Загруженные факты имеют дату состояния; известна граница достоверной истории.</w:t>
      </w:r>
    </w:p>
    <w:p>
      <w:pPr>
        <w:pStyle w:val="ListParagraph"/>
      </w:pPr>
      <w:r>
        <w:rPr/>
        <w:t xml:space="preserve">• </w:t>
      </w:r>
      <w:r>
        <w:rPr/>
        <w:t xml:space="preserve">Проверены доступы каждой роли, резервная копия и восстановление.</w:t>
      </w:r>
    </w:p>
    <w:p>
      <w:pPr>
        <w:pStyle w:val="ListParagraph"/>
      </w:pPr>
      <w:r>
        <w:rPr/>
        <w:t xml:space="preserve">• </w:t>
      </w:r>
      <w:r>
        <w:rPr/>
        <w:t xml:space="preserve">Пользователи могут самостоятельно создать график, внести факт и получить пакет планёрки.</w:t>
      </w:r>
    </w:p>
    <w:p>
      <w:pPr>
        <w:pStyle w:val="Heading1"/>
      </w:pPr>
      <w:bookmarkStart w:id="18" w:name="section_18"/>
      <w:r>
        <w:rPr/>
        <w:t xml:space="preserve">18. Риски и способы их учёта</w:t>
      </w:r>
      <w:bookmarkEnd w:id="18"/>
    </w:p>
    <w:tbl>
      <w:tblPr>
        <w:tblW w:w="9500" w:type="dxa"/>
        <w:tblLayout w:type="fixed"/>
        <w:tblBorders>
          <w:top w:val="single" w:sz="4" w:color="CBD6DF"/>
          <w:left w:val="single" w:sz="4" w:color="CBD6DF"/>
          <w:bottom w:val="single" w:sz="4" w:color="CBD6DF"/>
          <w:right w:val="single" w:sz="4" w:color="CBD6DF"/>
          <w:insideH w:val="single" w:sz="4" w:color="CBD6DF"/>
          <w:insideV w:val="single" w:sz="4" w:color="CBD6DF"/>
        </w:tblBorders>
        <w:tblCellMar>
          <w:top w:w="70" w:type="dxa"/>
          <w:bottom w:w="70" w:type="dxa"/>
          <w:left w:w="85" w:type="dxa"/>
          <w:right w:w="85" w:type="dxa"/>
        </w:tblCellMar>
      </w:tblPr>
      <w:tblGrid>
        <w:gridCol w:w="2872"/>
        <w:gridCol w:w="2746"/>
        <w:gridCol w:w="3882"/>
      </w:tblGrid>
      <w:tr>
        <w:trPr>
          <w:cantSplit/>
          <w:tblHeader/>
        </w:trPr>
        <w:tc>
          <w:tcPr>
            <w:tcW w:w="2872" w:type="dxa"/>
            <w:vAlign w:val="top"/>
            <w:shd w:fill="E7F0F5"/>
          </w:tcPr>
          <w:p>
            <w:pPr>
              <w:pStyle w:val="TableHeader"/>
            </w:pPr>
            <w:r>
              <w:rPr/>
              <w:t xml:space="preserve">Риск</w:t>
            </w:r>
          </w:p>
        </w:tc>
        <w:tc>
          <w:tcPr>
            <w:tcW w:w="2746" w:type="dxa"/>
            <w:vAlign w:val="top"/>
            <w:shd w:fill="E7F0F5"/>
          </w:tcPr>
          <w:p>
            <w:pPr>
              <w:pStyle w:val="TableHeader"/>
            </w:pPr>
            <w:r>
              <w:rPr/>
              <w:t xml:space="preserve">Последствие</w:t>
            </w:r>
          </w:p>
        </w:tc>
        <w:tc>
          <w:tcPr>
            <w:tcW w:w="3882" w:type="dxa"/>
            <w:vAlign w:val="top"/>
            <w:shd w:fill="E7F0F5"/>
          </w:tcPr>
          <w:p>
            <w:pPr>
              <w:pStyle w:val="TableHeader"/>
            </w:pPr>
            <w:r>
              <w:rPr/>
              <w:t xml:space="preserve">Решение</w:t>
            </w:r>
          </w:p>
        </w:tc>
      </w:tr>
      <w:tr>
        <w:trPr>
          <w:cantSplit/>
        </w:trPr>
        <w:tc>
          <w:tcPr>
            <w:tcW w:w="2872" w:type="dxa"/>
            <w:vAlign w:val="top"/>
          </w:tcPr>
          <w:p>
            <w:pPr>
              <w:pStyle w:val="TableText"/>
            </w:pPr>
            <w:r>
              <w:rPr/>
              <w:t xml:space="preserve">Неполные схемы моделей</w:t>
            </w:r>
          </w:p>
        </w:tc>
        <w:tc>
          <w:tcPr>
            <w:tcW w:w="2746" w:type="dxa"/>
            <w:vAlign w:val="top"/>
          </w:tcPr>
          <w:p>
            <w:pPr>
              <w:pStyle w:val="TableText"/>
            </w:pPr>
            <w:r>
              <w:rPr/>
              <w:t xml:space="preserve">Ошибочный критический путь и порядок выдач</w:t>
            </w:r>
          </w:p>
        </w:tc>
        <w:tc>
          <w:tcPr>
            <w:tcW w:w="3882" w:type="dxa"/>
            <w:vAlign w:val="top"/>
          </w:tcPr>
          <w:p>
            <w:pPr>
              <w:pStyle w:val="TableText"/>
            </w:pPr>
            <w:r>
              <w:rPr/>
              <w:t xml:space="preserve">Версии, методическая проверка, запрет применения неполного шаблона</w:t>
            </w:r>
          </w:p>
        </w:tc>
      </w:tr>
      <w:tr>
        <w:trPr>
          <w:cantSplit/>
        </w:trPr>
        <w:tc>
          <w:tcPr>
            <w:tcW w:w="2872" w:type="dxa"/>
            <w:vAlign w:val="top"/>
            <w:shd w:fill="F7FAFC"/>
          </w:tcPr>
          <w:p>
            <w:pPr>
              <w:pStyle w:val="TableText"/>
            </w:pPr>
            <w:r>
              <w:rPr/>
              <w:t xml:space="preserve">Неоднозначные проценты старого графика</w:t>
            </w:r>
          </w:p>
        </w:tc>
        <w:tc>
          <w:tcPr>
            <w:tcW w:w="2746" w:type="dxa"/>
            <w:vAlign w:val="top"/>
            <w:shd w:fill="F7FAFC"/>
          </w:tcPr>
          <w:p>
            <w:pPr>
              <w:pStyle w:val="TableText"/>
            </w:pPr>
            <w:r>
              <w:rPr/>
              <w:t xml:space="preserve">Неверные сроки или стоимость</w:t>
            </w:r>
          </w:p>
        </w:tc>
        <w:tc>
          <w:tcPr>
            <w:tcW w:w="3882" w:type="dxa"/>
            <w:vAlign w:val="top"/>
            <w:shd w:fill="F7FAFC"/>
          </w:tcPr>
          <w:p>
            <w:pPr>
              <w:pStyle w:val="TableText"/>
            </w:pPr>
            <w:r>
              <w:rPr/>
              <w:t xml:space="preserve">Сохранение справочных значений без участия в расчётах</w:t>
            </w:r>
          </w:p>
        </w:tc>
      </w:tr>
      <w:tr>
        <w:trPr>
          <w:cantSplit/>
        </w:trPr>
        <w:tc>
          <w:tcPr>
            <w:tcW w:w="2872" w:type="dxa"/>
            <w:vAlign w:val="top"/>
          </w:tcPr>
          <w:p>
            <w:pPr>
              <w:pStyle w:val="TableText"/>
            </w:pPr>
            <w:r>
              <w:rPr/>
              <w:t xml:space="preserve">Изменение праздников и переносов</w:t>
            </w:r>
          </w:p>
        </w:tc>
        <w:tc>
          <w:tcPr>
            <w:tcW w:w="2746" w:type="dxa"/>
            <w:vAlign w:val="top"/>
          </w:tcPr>
          <w:p>
            <w:pPr>
              <w:pStyle w:val="TableText"/>
            </w:pPr>
            <w:r>
              <w:rPr/>
              <w:t xml:space="preserve">Изменение рабочих длительностей</w:t>
            </w:r>
          </w:p>
        </w:tc>
        <w:tc>
          <w:tcPr>
            <w:tcW w:w="3882" w:type="dxa"/>
            <w:vAlign w:val="top"/>
          </w:tcPr>
          <w:p>
            <w:pPr>
              <w:pStyle w:val="TableText"/>
            </w:pPr>
            <w:r>
              <w:rPr/>
              <w:t xml:space="preserve">Календарь по годам, источники, версии и анализ влияния</w:t>
            </w:r>
          </w:p>
        </w:tc>
      </w:tr>
      <w:tr>
        <w:trPr>
          <w:cantSplit/>
        </w:trPr>
        <w:tc>
          <w:tcPr>
            <w:tcW w:w="2872" w:type="dxa"/>
            <w:vAlign w:val="top"/>
            <w:shd w:fill="F7FAFC"/>
          </w:tcPr>
          <w:p>
            <w:pPr>
              <w:pStyle w:val="TableText"/>
            </w:pPr>
            <w:r>
              <w:rPr/>
              <w:t xml:space="preserve">Несвоевременный факт</w:t>
            </w:r>
          </w:p>
        </w:tc>
        <w:tc>
          <w:tcPr>
            <w:tcW w:w="2746" w:type="dxa"/>
            <w:vAlign w:val="top"/>
            <w:shd w:fill="F7FAFC"/>
          </w:tcPr>
          <w:p>
            <w:pPr>
              <w:pStyle w:val="TableText"/>
            </w:pPr>
            <w:r>
              <w:rPr/>
              <w:t xml:space="preserve">Ложное впечатление актуальности</w:t>
            </w:r>
          </w:p>
        </w:tc>
        <w:tc>
          <w:tcPr>
            <w:tcW w:w="3882" w:type="dxa"/>
            <w:vAlign w:val="top"/>
            <w:shd w:fill="F7FAFC"/>
          </w:tcPr>
          <w:p>
            <w:pPr>
              <w:pStyle w:val="TableText"/>
            </w:pPr>
            <w:r>
              <w:rPr/>
              <w:t xml:space="preserve">Отдельный показатель свежести и отчёт качества данных</w:t>
            </w:r>
          </w:p>
        </w:tc>
      </w:tr>
      <w:tr>
        <w:trPr>
          <w:cantSplit/>
        </w:trPr>
        <w:tc>
          <w:tcPr>
            <w:tcW w:w="2872" w:type="dxa"/>
            <w:vAlign w:val="top"/>
          </w:tcPr>
          <w:p>
            <w:pPr>
              <w:pStyle w:val="TableText"/>
            </w:pPr>
            <w:r>
              <w:rPr/>
              <w:t xml:space="preserve">«Загрузка» воспринимается как трудоёмкость</w:t>
            </w:r>
          </w:p>
        </w:tc>
        <w:tc>
          <w:tcPr>
            <w:tcW w:w="2746" w:type="dxa"/>
            <w:vAlign w:val="top"/>
          </w:tcPr>
          <w:p>
            <w:pPr>
              <w:pStyle w:val="TableText"/>
            </w:pPr>
            <w:r>
              <w:rPr/>
              <w:t xml:space="preserve">Ошибочные кадровые решения</w:t>
            </w:r>
          </w:p>
        </w:tc>
        <w:tc>
          <w:tcPr>
            <w:tcW w:w="3882" w:type="dxa"/>
            <w:vAlign w:val="top"/>
          </w:tcPr>
          <w:p>
            <w:pPr>
              <w:pStyle w:val="TableText"/>
            </w:pPr>
            <w:r>
              <w:rPr/>
              <w:t xml:space="preserve">Явное название показателя; мощность и часы — отдельный этап</w:t>
            </w:r>
          </w:p>
        </w:tc>
      </w:tr>
      <w:tr>
        <w:trPr>
          <w:cantSplit/>
        </w:trPr>
        <w:tc>
          <w:tcPr>
            <w:tcW w:w="2872" w:type="dxa"/>
            <w:vAlign w:val="top"/>
            <w:shd w:fill="F7FAFC"/>
          </w:tcPr>
          <w:p>
            <w:pPr>
              <w:pStyle w:val="TableText"/>
            </w:pPr>
            <w:r>
              <w:rPr/>
              <w:t xml:space="preserve">Слишком много данных для одного А4</w:t>
            </w:r>
          </w:p>
        </w:tc>
        <w:tc>
          <w:tcPr>
            <w:tcW w:w="2746" w:type="dxa"/>
            <w:vAlign w:val="top"/>
            <w:shd w:fill="F7FAFC"/>
          </w:tcPr>
          <w:p>
            <w:pPr>
              <w:pStyle w:val="TableText"/>
            </w:pPr>
            <w:r>
              <w:rPr/>
              <w:t xml:space="preserve">Нечитаемая печать</w:t>
            </w:r>
          </w:p>
        </w:tc>
        <w:tc>
          <w:tcPr>
            <w:tcW w:w="3882" w:type="dxa"/>
            <w:vAlign w:val="top"/>
            <w:shd w:fill="F7FAFC"/>
          </w:tcPr>
          <w:p>
            <w:pPr>
              <w:pStyle w:val="TableText"/>
            </w:pPr>
            <w:r>
              <w:rPr/>
              <w:t xml:space="preserve">Типовой лист и читаемые продолжения с полными листами детализации</w:t>
            </w:r>
          </w:p>
        </w:tc>
      </w:tr>
      <w:tr>
        <w:trPr>
          <w:cantSplit/>
        </w:trPr>
        <w:tc>
          <w:tcPr>
            <w:tcW w:w="2872" w:type="dxa"/>
            <w:vAlign w:val="top"/>
          </w:tcPr>
          <w:p>
            <w:pPr>
              <w:pStyle w:val="TableText"/>
            </w:pPr>
            <w:r>
              <w:rPr/>
              <w:t xml:space="preserve">Смена ручных планов скрывает прошлую просрочку</w:t>
            </w:r>
          </w:p>
        </w:tc>
        <w:tc>
          <w:tcPr>
            <w:tcW w:w="2746" w:type="dxa"/>
            <w:vAlign w:val="top"/>
          </w:tcPr>
          <w:p>
            <w:pPr>
              <w:pStyle w:val="TableText"/>
            </w:pPr>
            <w:r>
              <w:rPr/>
              <w:t xml:space="preserve">Искажение управленческих отчётов</w:t>
            </w:r>
          </w:p>
        </w:tc>
        <w:tc>
          <w:tcPr>
            <w:tcW w:w="3882" w:type="dxa"/>
            <w:vAlign w:val="top"/>
          </w:tcPr>
          <w:p>
            <w:pPr>
              <w:pStyle w:val="TableText"/>
            </w:pPr>
            <w:r>
              <w:rPr/>
              <w:t xml:space="preserve">Первоначальный план, версии и два режима исторического среза</w:t>
            </w:r>
          </w:p>
        </w:tc>
      </w:tr>
      <w:tr>
        <w:trPr>
          <w:cantSplit/>
        </w:trPr>
        <w:tc>
          <w:tcPr>
            <w:tcW w:w="2872" w:type="dxa"/>
            <w:vAlign w:val="top"/>
            <w:shd w:fill="F7FAFC"/>
          </w:tcPr>
          <w:p>
            <w:pPr>
              <w:pStyle w:val="TableText"/>
            </w:pPr>
            <w:r>
              <w:rPr/>
              <w:t xml:space="preserve">Произвольные старые Excel</w:t>
            </w:r>
          </w:p>
        </w:tc>
        <w:tc>
          <w:tcPr>
            <w:tcW w:w="2746" w:type="dxa"/>
            <w:vAlign w:val="top"/>
            <w:shd w:fill="F7FAFC"/>
          </w:tcPr>
          <w:p>
            <w:pPr>
              <w:pStyle w:val="TableText"/>
            </w:pPr>
            <w:r>
              <w:rPr/>
              <w:t xml:space="preserve">Дубли и потеря связей</w:t>
            </w:r>
          </w:p>
        </w:tc>
        <w:tc>
          <w:tcPr>
            <w:tcW w:w="3882" w:type="dxa"/>
            <w:vAlign w:val="top"/>
            <w:shd w:fill="F7FAFC"/>
          </w:tcPr>
          <w:p>
            <w:pPr>
              <w:pStyle w:val="TableText"/>
            </w:pPr>
            <w:r>
              <w:rPr/>
              <w:t xml:space="preserve">Шаблон, внешние ID, предварительный просмотр, протокол</w:t>
            </w:r>
          </w:p>
        </w:tc>
      </w:tr>
      <w:tr>
        <w:trPr>
          <w:cantSplit/>
        </w:trPr>
        <w:tc>
          <w:tcPr>
            <w:tcW w:w="2872" w:type="dxa"/>
            <w:vAlign w:val="top"/>
          </w:tcPr>
          <w:p>
            <w:pPr>
              <w:pStyle w:val="TableText"/>
            </w:pPr>
            <w:r>
              <w:rPr/>
              <w:t xml:space="preserve">Сложность интерфейса для ГИПа</w:t>
            </w:r>
          </w:p>
        </w:tc>
        <w:tc>
          <w:tcPr>
            <w:tcW w:w="2746" w:type="dxa"/>
            <w:vAlign w:val="top"/>
          </w:tcPr>
          <w:p>
            <w:pPr>
              <w:pStyle w:val="TableText"/>
            </w:pPr>
            <w:r>
              <w:rPr/>
              <w:t xml:space="preserve">Отказ от регулярного ведения</w:t>
            </w:r>
          </w:p>
        </w:tc>
        <w:tc>
          <w:tcPr>
            <w:tcW w:w="3882" w:type="dxa"/>
            <w:vAlign w:val="top"/>
          </w:tcPr>
          <w:p>
            <w:pPr>
              <w:pStyle w:val="TableText"/>
            </w:pPr>
            <w:r>
              <w:rPr/>
              <w:t xml:space="preserve">Пошаговый редактор, шаблоны, таблица ввода, проверка на пилоте</w:t>
            </w:r>
          </w:p>
        </w:tc>
      </w:tr>
    </w:tbl>
    <w:p>
      <w:pPr>
        <w:pStyle w:val="TableAfter"/>
      </w:pPr>
    </w:p>
    <w:p>
      <w:pPr>
        <w:pStyle w:val="Normal"/>
      </w:pPr>
      <w:r>
        <w:rPr/>
        <w:t xml:space="preserve">Нет открытых продуктовых вопросов, блокирующих проектирование по этому PRD: спорные правила закрыты решениями D-01–16. Перед внедрением остаются задачи подготовки данных и инфраструктуры: полные схемы моделей, каталог отделов и сотрудников, годовые календари, серверная среда и исходные Excel. Они не должны подменяться вымышленными данными.</w:t>
      </w:r>
    </w:p>
    <w:p>
      <w:pPr>
        <w:pStyle w:val="Heading1"/>
      </w:pPr>
      <w:bookmarkStart w:id="19" w:name="section_19"/>
      <w:r>
        <w:rPr/>
        <w:t xml:space="preserve">Приложение А. Исходный справочник специальностей</w:t>
      </w:r>
      <w:bookmarkEnd w:id="19"/>
    </w:p>
    <w:p>
      <w:pPr>
        <w:pStyle w:val="Normal"/>
      </w:pPr>
      <w:r>
        <w:rPr/>
        <w:t xml:space="preserve">Шифры и наименования перенесены из предоставленного документа; начальные нули обязательны.</w:t>
      </w:r>
    </w:p>
    <w:tbl>
      <w:tblPr>
        <w:tblW w:w="9500" w:type="dxa"/>
        <w:tblLayout w:type="fixed"/>
        <w:tblBorders>
          <w:top w:val="single" w:sz="4" w:color="CBD6DF"/>
          <w:left w:val="single" w:sz="4" w:color="CBD6DF"/>
          <w:bottom w:val="single" w:sz="4" w:color="CBD6DF"/>
          <w:right w:val="single" w:sz="4" w:color="CBD6DF"/>
          <w:insideH w:val="single" w:sz="4" w:color="CBD6DF"/>
          <w:insideV w:val="single" w:sz="4" w:color="CBD6DF"/>
        </w:tblBorders>
        <w:tblCellMar>
          <w:top w:w="70" w:type="dxa"/>
          <w:bottom w:w="70" w:type="dxa"/>
          <w:left w:w="85" w:type="dxa"/>
          <w:right w:w="85" w:type="dxa"/>
        </w:tblCellMar>
      </w:tblPr>
      <w:tblGrid>
        <w:gridCol w:w="2185"/>
        <w:gridCol w:w="7315"/>
      </w:tblGrid>
      <w:tr>
        <w:trPr>
          <w:cantSplit/>
          <w:tblHeader/>
        </w:trPr>
        <w:tc>
          <w:tcPr>
            <w:tcW w:w="2185" w:type="dxa"/>
            <w:vAlign w:val="top"/>
            <w:shd w:fill="E7F0F5"/>
          </w:tcPr>
          <w:p>
            <w:pPr>
              <w:pStyle w:val="TableHeader"/>
            </w:pPr>
            <w:r>
              <w:rPr/>
              <w:t xml:space="preserve">Шифр</w:t>
            </w:r>
          </w:p>
        </w:tc>
        <w:tc>
          <w:tcPr>
            <w:tcW w:w="7315" w:type="dxa"/>
            <w:vAlign w:val="top"/>
            <w:shd w:fill="E7F0F5"/>
          </w:tcPr>
          <w:p>
            <w:pPr>
              <w:pStyle w:val="TableHeader"/>
            </w:pPr>
            <w:r>
              <w:rPr/>
              <w:t xml:space="preserve">Специальность</w:t>
            </w:r>
          </w:p>
        </w:tc>
      </w:tr>
      <w:tr>
        <w:trPr>
          <w:cantSplit/>
        </w:trPr>
        <w:tc>
          <w:tcPr>
            <w:tcW w:w="2185" w:type="dxa"/>
            <w:vAlign w:val="top"/>
          </w:tcPr>
          <w:p>
            <w:pPr>
              <w:pStyle w:val="TableText"/>
            </w:pPr>
            <w:r>
              <w:rPr/>
              <w:t xml:space="preserve">062</w:t>
            </w:r>
          </w:p>
        </w:tc>
        <w:tc>
          <w:tcPr>
            <w:tcW w:w="7315" w:type="dxa"/>
            <w:vAlign w:val="top"/>
          </w:tcPr>
          <w:p>
            <w:pPr>
              <w:pStyle w:val="TableText"/>
            </w:pPr>
            <w:r>
              <w:rPr/>
              <w:t xml:space="preserve">Проектирование, земляное полотно</w:t>
            </w:r>
          </w:p>
        </w:tc>
      </w:tr>
      <w:tr>
        <w:trPr>
          <w:cantSplit/>
        </w:trPr>
        <w:tc>
          <w:tcPr>
            <w:tcW w:w="2185" w:type="dxa"/>
            <w:vAlign w:val="top"/>
            <w:shd w:fill="F7FAFC"/>
          </w:tcPr>
          <w:p>
            <w:pPr>
              <w:pStyle w:val="TableText"/>
            </w:pPr>
            <w:r>
              <w:rPr/>
              <w:t xml:space="preserve">064</w:t>
            </w:r>
          </w:p>
        </w:tc>
        <w:tc>
          <w:tcPr>
            <w:tcW w:w="7315" w:type="dxa"/>
            <w:vAlign w:val="top"/>
            <w:shd w:fill="F7FAFC"/>
          </w:tcPr>
          <w:p>
            <w:pPr>
              <w:pStyle w:val="TableText"/>
            </w:pPr>
            <w:r>
              <w:rPr/>
              <w:t xml:space="preserve">ПОС</w:t>
            </w:r>
          </w:p>
        </w:tc>
      </w:tr>
      <w:tr>
        <w:trPr>
          <w:cantSplit/>
        </w:trPr>
        <w:tc>
          <w:tcPr>
            <w:tcW w:w="2185" w:type="dxa"/>
            <w:vAlign w:val="top"/>
          </w:tcPr>
          <w:p>
            <w:pPr>
              <w:pStyle w:val="TableText"/>
            </w:pPr>
            <w:r>
              <w:rPr/>
              <w:t xml:space="preserve">065</w:t>
            </w:r>
          </w:p>
        </w:tc>
        <w:tc>
          <w:tcPr>
            <w:tcW w:w="7315" w:type="dxa"/>
            <w:vAlign w:val="top"/>
          </w:tcPr>
          <w:p>
            <w:pPr>
              <w:pStyle w:val="TableText"/>
            </w:pPr>
            <w:r>
              <w:rPr/>
              <w:t xml:space="preserve">Гидрология</w:t>
            </w:r>
          </w:p>
        </w:tc>
      </w:tr>
      <w:tr>
        <w:trPr>
          <w:cantSplit/>
        </w:trPr>
        <w:tc>
          <w:tcPr>
            <w:tcW w:w="2185" w:type="dxa"/>
            <w:vAlign w:val="top"/>
            <w:shd w:fill="F7FAFC"/>
          </w:tcPr>
          <w:p>
            <w:pPr>
              <w:pStyle w:val="TableText"/>
            </w:pPr>
            <w:r>
              <w:rPr/>
              <w:t xml:space="preserve">092</w:t>
            </w:r>
          </w:p>
        </w:tc>
        <w:tc>
          <w:tcPr>
            <w:tcW w:w="7315" w:type="dxa"/>
            <w:vAlign w:val="top"/>
            <w:shd w:fill="F7FAFC"/>
          </w:tcPr>
          <w:p>
            <w:pPr>
              <w:pStyle w:val="TableText"/>
            </w:pPr>
            <w:r>
              <w:rPr/>
              <w:t xml:space="preserve">Проектирование узлов и станций</w:t>
            </w:r>
          </w:p>
        </w:tc>
      </w:tr>
      <w:tr>
        <w:trPr>
          <w:cantSplit/>
        </w:trPr>
        <w:tc>
          <w:tcPr>
            <w:tcW w:w="2185" w:type="dxa"/>
            <w:vAlign w:val="top"/>
          </w:tcPr>
          <w:p>
            <w:pPr>
              <w:pStyle w:val="TableText"/>
            </w:pPr>
            <w:r>
              <w:rPr/>
              <w:t xml:space="preserve">093</w:t>
            </w:r>
          </w:p>
        </w:tc>
        <w:tc>
          <w:tcPr>
            <w:tcW w:w="7315" w:type="dxa"/>
            <w:vAlign w:val="top"/>
          </w:tcPr>
          <w:p>
            <w:pPr>
              <w:pStyle w:val="TableText"/>
            </w:pPr>
            <w:r>
              <w:rPr/>
              <w:t xml:space="preserve">Экономика и организация движения</w:t>
            </w:r>
          </w:p>
        </w:tc>
      </w:tr>
      <w:tr>
        <w:trPr>
          <w:cantSplit/>
        </w:trPr>
        <w:tc>
          <w:tcPr>
            <w:tcW w:w="2185" w:type="dxa"/>
            <w:vAlign w:val="top"/>
            <w:shd w:fill="F7FAFC"/>
          </w:tcPr>
          <w:p>
            <w:pPr>
              <w:pStyle w:val="TableText"/>
            </w:pPr>
            <w:r>
              <w:rPr/>
              <w:t xml:space="preserve">061</w:t>
            </w:r>
          </w:p>
        </w:tc>
        <w:tc>
          <w:tcPr>
            <w:tcW w:w="7315" w:type="dxa"/>
            <w:vAlign w:val="top"/>
            <w:shd w:fill="F7FAFC"/>
          </w:tcPr>
          <w:p>
            <w:pPr>
              <w:pStyle w:val="TableText"/>
            </w:pPr>
            <w:r>
              <w:rPr/>
              <w:t xml:space="preserve">Геодезия и топография</w:t>
            </w:r>
          </w:p>
        </w:tc>
      </w:tr>
      <w:tr>
        <w:trPr>
          <w:cantSplit/>
        </w:trPr>
        <w:tc>
          <w:tcPr>
            <w:tcW w:w="2185" w:type="dxa"/>
            <w:vAlign w:val="top"/>
          </w:tcPr>
          <w:p>
            <w:pPr>
              <w:pStyle w:val="TableText"/>
            </w:pPr>
            <w:r>
              <w:rPr/>
              <w:t xml:space="preserve">241</w:t>
            </w:r>
          </w:p>
        </w:tc>
        <w:tc>
          <w:tcPr>
            <w:tcW w:w="7315" w:type="dxa"/>
            <w:vAlign w:val="top"/>
          </w:tcPr>
          <w:p>
            <w:pPr>
              <w:pStyle w:val="TableText"/>
            </w:pPr>
            <w:r>
              <w:rPr/>
              <w:t xml:space="preserve">Геология</w:t>
            </w:r>
          </w:p>
        </w:tc>
      </w:tr>
      <w:tr>
        <w:trPr>
          <w:cantSplit/>
        </w:trPr>
        <w:tc>
          <w:tcPr>
            <w:tcW w:w="2185" w:type="dxa"/>
            <w:vAlign w:val="top"/>
            <w:shd w:fill="F7FAFC"/>
          </w:tcPr>
          <w:p>
            <w:pPr>
              <w:pStyle w:val="TableText"/>
            </w:pPr>
            <w:r>
              <w:rPr/>
              <w:t xml:space="preserve">292</w:t>
            </w:r>
          </w:p>
        </w:tc>
        <w:tc>
          <w:tcPr>
            <w:tcW w:w="7315" w:type="dxa"/>
            <w:vAlign w:val="top"/>
            <w:shd w:fill="F7FAFC"/>
          </w:tcPr>
          <w:p>
            <w:pPr>
              <w:pStyle w:val="TableText"/>
            </w:pPr>
            <w:r>
              <w:rPr/>
              <w:t xml:space="preserve">СЦБ</w:t>
            </w:r>
          </w:p>
        </w:tc>
      </w:tr>
      <w:tr>
        <w:trPr>
          <w:cantSplit/>
        </w:trPr>
        <w:tc>
          <w:tcPr>
            <w:tcW w:w="2185" w:type="dxa"/>
            <w:vAlign w:val="top"/>
          </w:tcPr>
          <w:p>
            <w:pPr>
              <w:pStyle w:val="TableText"/>
            </w:pPr>
            <w:r>
              <w:rPr/>
              <w:t xml:space="preserve">293</w:t>
            </w:r>
          </w:p>
        </w:tc>
        <w:tc>
          <w:tcPr>
            <w:tcW w:w="7315" w:type="dxa"/>
            <w:vAlign w:val="top"/>
          </w:tcPr>
          <w:p>
            <w:pPr>
              <w:pStyle w:val="TableText"/>
            </w:pPr>
            <w:r>
              <w:rPr/>
              <w:t xml:space="preserve">Связь</w:t>
            </w:r>
          </w:p>
        </w:tc>
      </w:tr>
      <w:tr>
        <w:trPr>
          <w:cantSplit/>
        </w:trPr>
        <w:tc>
          <w:tcPr>
            <w:tcW w:w="2185" w:type="dxa"/>
            <w:vAlign w:val="top"/>
            <w:shd w:fill="F7FAFC"/>
          </w:tcPr>
          <w:p>
            <w:pPr>
              <w:pStyle w:val="TableText"/>
            </w:pPr>
            <w:r>
              <w:rPr/>
              <w:t xml:space="preserve">272</w:t>
            </w:r>
          </w:p>
        </w:tc>
        <w:tc>
          <w:tcPr>
            <w:tcW w:w="7315" w:type="dxa"/>
            <w:vAlign w:val="top"/>
            <w:shd w:fill="F7FAFC"/>
          </w:tcPr>
          <w:p>
            <w:pPr>
              <w:pStyle w:val="TableText"/>
            </w:pPr>
            <w:r>
              <w:rPr/>
              <w:t xml:space="preserve">Электроснабжение, телемеханика, подстанции и ЛЭП 35 кВ и выше</w:t>
            </w:r>
          </w:p>
        </w:tc>
      </w:tr>
      <w:tr>
        <w:trPr>
          <w:cantSplit/>
        </w:trPr>
        <w:tc>
          <w:tcPr>
            <w:tcW w:w="2185" w:type="dxa"/>
            <w:vAlign w:val="top"/>
          </w:tcPr>
          <w:p>
            <w:pPr>
              <w:pStyle w:val="TableText"/>
            </w:pPr>
            <w:r>
              <w:rPr/>
              <w:t xml:space="preserve">274</w:t>
            </w:r>
          </w:p>
        </w:tc>
        <w:tc>
          <w:tcPr>
            <w:tcW w:w="7315" w:type="dxa"/>
            <w:vAlign w:val="top"/>
          </w:tcPr>
          <w:p>
            <w:pPr>
              <w:pStyle w:val="TableText"/>
            </w:pPr>
            <w:r>
              <w:rPr/>
              <w:t xml:space="preserve">Контактная сеть</w:t>
            </w:r>
          </w:p>
        </w:tc>
      </w:tr>
      <w:tr>
        <w:trPr>
          <w:cantSplit/>
        </w:trPr>
        <w:tc>
          <w:tcPr>
            <w:tcW w:w="2185" w:type="dxa"/>
            <w:vAlign w:val="top"/>
            <w:shd w:fill="F7FAFC"/>
          </w:tcPr>
          <w:p>
            <w:pPr>
              <w:pStyle w:val="TableText"/>
            </w:pPr>
            <w:r>
              <w:rPr/>
              <w:t xml:space="preserve">275</w:t>
            </w:r>
          </w:p>
        </w:tc>
        <w:tc>
          <w:tcPr>
            <w:tcW w:w="7315" w:type="dxa"/>
            <w:vAlign w:val="top"/>
            <w:shd w:fill="F7FAFC"/>
          </w:tcPr>
          <w:p>
            <w:pPr>
              <w:pStyle w:val="TableText"/>
            </w:pPr>
            <w:r>
              <w:rPr/>
              <w:t xml:space="preserve">КИП и автоматика</w:t>
            </w:r>
          </w:p>
        </w:tc>
      </w:tr>
      <w:tr>
        <w:trPr>
          <w:cantSplit/>
        </w:trPr>
        <w:tc>
          <w:tcPr>
            <w:tcW w:w="2185" w:type="dxa"/>
            <w:vAlign w:val="top"/>
          </w:tcPr>
          <w:p>
            <w:pPr>
              <w:pStyle w:val="TableText"/>
            </w:pPr>
            <w:r>
              <w:rPr/>
              <w:t xml:space="preserve">222</w:t>
            </w:r>
          </w:p>
        </w:tc>
        <w:tc>
          <w:tcPr>
            <w:tcW w:w="7315" w:type="dxa"/>
            <w:vAlign w:val="top"/>
          </w:tcPr>
          <w:p>
            <w:pPr>
              <w:pStyle w:val="TableText"/>
            </w:pPr>
            <w:r>
              <w:rPr/>
              <w:t xml:space="preserve">Водоснабжение и канализация</w:t>
            </w:r>
          </w:p>
        </w:tc>
      </w:tr>
      <w:tr>
        <w:trPr>
          <w:cantSplit/>
        </w:trPr>
        <w:tc>
          <w:tcPr>
            <w:tcW w:w="2185" w:type="dxa"/>
            <w:vAlign w:val="top"/>
            <w:shd w:fill="F7FAFC"/>
          </w:tcPr>
          <w:p>
            <w:pPr>
              <w:pStyle w:val="TableText"/>
            </w:pPr>
            <w:r>
              <w:rPr/>
              <w:t xml:space="preserve">224</w:t>
            </w:r>
          </w:p>
        </w:tc>
        <w:tc>
          <w:tcPr>
            <w:tcW w:w="7315" w:type="dxa"/>
            <w:vAlign w:val="top"/>
            <w:shd w:fill="F7FAFC"/>
          </w:tcPr>
          <w:p>
            <w:pPr>
              <w:pStyle w:val="TableText"/>
            </w:pPr>
            <w:r>
              <w:rPr/>
              <w:t xml:space="preserve">Теплоснабжение, отопление и вентиляция, охрана окружающей среды</w:t>
            </w:r>
          </w:p>
        </w:tc>
      </w:tr>
      <w:tr>
        <w:trPr>
          <w:cantSplit/>
        </w:trPr>
        <w:tc>
          <w:tcPr>
            <w:tcW w:w="2185" w:type="dxa"/>
            <w:vAlign w:val="top"/>
          </w:tcPr>
          <w:p>
            <w:pPr>
              <w:pStyle w:val="TableText"/>
            </w:pPr>
            <w:r>
              <w:rPr/>
              <w:t xml:space="preserve">227</w:t>
            </w:r>
          </w:p>
        </w:tc>
        <w:tc>
          <w:tcPr>
            <w:tcW w:w="7315" w:type="dxa"/>
            <w:vAlign w:val="top"/>
          </w:tcPr>
          <w:p>
            <w:pPr>
              <w:pStyle w:val="TableText"/>
            </w:pPr>
            <w:r>
              <w:rPr/>
              <w:t xml:space="preserve">Технологическая часть</w:t>
            </w:r>
          </w:p>
        </w:tc>
      </w:tr>
      <w:tr>
        <w:trPr>
          <w:cantSplit/>
        </w:trPr>
        <w:tc>
          <w:tcPr>
            <w:tcW w:w="2185" w:type="dxa"/>
            <w:vAlign w:val="top"/>
            <w:shd w:fill="F7FAFC"/>
          </w:tcPr>
          <w:p>
            <w:pPr>
              <w:pStyle w:val="TableText"/>
            </w:pPr>
            <w:r>
              <w:rPr/>
              <w:t xml:space="preserve">228</w:t>
            </w:r>
          </w:p>
        </w:tc>
        <w:tc>
          <w:tcPr>
            <w:tcW w:w="7315" w:type="dxa"/>
            <w:vAlign w:val="top"/>
            <w:shd w:fill="F7FAFC"/>
          </w:tcPr>
          <w:p>
            <w:pPr>
              <w:pStyle w:val="TableText"/>
            </w:pPr>
            <w:r>
              <w:rPr/>
              <w:t xml:space="preserve">Генплан</w:t>
            </w:r>
          </w:p>
        </w:tc>
      </w:tr>
      <w:tr>
        <w:trPr>
          <w:cantSplit/>
        </w:trPr>
        <w:tc>
          <w:tcPr>
            <w:tcW w:w="2185" w:type="dxa"/>
            <w:vAlign w:val="top"/>
          </w:tcPr>
          <w:p>
            <w:pPr>
              <w:pStyle w:val="TableText"/>
            </w:pPr>
            <w:r>
              <w:rPr/>
              <w:t xml:space="preserve">072</w:t>
            </w:r>
          </w:p>
        </w:tc>
        <w:tc>
          <w:tcPr>
            <w:tcW w:w="7315" w:type="dxa"/>
            <w:vAlign w:val="top"/>
          </w:tcPr>
          <w:p>
            <w:pPr>
              <w:pStyle w:val="TableText"/>
            </w:pPr>
            <w:r>
              <w:rPr/>
              <w:t xml:space="preserve">Архитектурно-строительная часть</w:t>
            </w:r>
          </w:p>
        </w:tc>
      </w:tr>
      <w:tr>
        <w:trPr>
          <w:cantSplit/>
        </w:trPr>
        <w:tc>
          <w:tcPr>
            <w:tcW w:w="2185" w:type="dxa"/>
            <w:vAlign w:val="top"/>
            <w:shd w:fill="F7FAFC"/>
          </w:tcPr>
          <w:p>
            <w:pPr>
              <w:pStyle w:val="TableText"/>
            </w:pPr>
            <w:r>
              <w:rPr/>
              <w:t xml:space="preserve">232</w:t>
            </w:r>
          </w:p>
        </w:tc>
        <w:tc>
          <w:tcPr>
            <w:tcW w:w="7315" w:type="dxa"/>
            <w:vAlign w:val="top"/>
            <w:shd w:fill="F7FAFC"/>
          </w:tcPr>
          <w:p>
            <w:pPr>
              <w:pStyle w:val="TableText"/>
            </w:pPr>
            <w:r>
              <w:rPr/>
              <w:t xml:space="preserve">Искусственные сооружения</w:t>
            </w:r>
          </w:p>
        </w:tc>
      </w:tr>
      <w:tr>
        <w:trPr>
          <w:cantSplit/>
        </w:trPr>
        <w:tc>
          <w:tcPr>
            <w:tcW w:w="2185" w:type="dxa"/>
            <w:vAlign w:val="top"/>
          </w:tcPr>
          <w:p>
            <w:pPr>
              <w:pStyle w:val="TableText"/>
            </w:pPr>
            <w:r>
              <w:rPr/>
              <w:t xml:space="preserve">193</w:t>
            </w:r>
          </w:p>
        </w:tc>
        <w:tc>
          <w:tcPr>
            <w:tcW w:w="7315" w:type="dxa"/>
            <w:vAlign w:val="top"/>
          </w:tcPr>
          <w:p>
            <w:pPr>
              <w:pStyle w:val="TableText"/>
            </w:pPr>
            <w:r>
              <w:rPr/>
              <w:t xml:space="preserve">Оформление и выпуск проектов</w:t>
            </w:r>
          </w:p>
        </w:tc>
      </w:tr>
      <w:tr>
        <w:trPr>
          <w:cantSplit/>
        </w:trPr>
        <w:tc>
          <w:tcPr>
            <w:tcW w:w="2185" w:type="dxa"/>
            <w:vAlign w:val="top"/>
            <w:shd w:fill="F7FAFC"/>
          </w:tcPr>
          <w:p>
            <w:pPr>
              <w:pStyle w:val="TableText"/>
            </w:pPr>
            <w:r>
              <w:rPr/>
              <w:t xml:space="preserve">100</w:t>
            </w:r>
          </w:p>
        </w:tc>
        <w:tc>
          <w:tcPr>
            <w:tcW w:w="7315" w:type="dxa"/>
            <w:vAlign w:val="top"/>
            <w:shd w:fill="F7FAFC"/>
          </w:tcPr>
          <w:p>
            <w:pPr>
              <w:pStyle w:val="TableText"/>
            </w:pPr>
            <w:r>
              <w:rPr/>
              <w:t xml:space="preserve">Главный инженер проекта</w:t>
            </w:r>
          </w:p>
        </w:tc>
      </w:tr>
      <w:tr>
        <w:trPr>
          <w:cantSplit/>
        </w:trPr>
        <w:tc>
          <w:tcPr>
            <w:tcW w:w="2185" w:type="dxa"/>
            <w:vAlign w:val="top"/>
          </w:tcPr>
          <w:p>
            <w:pPr>
              <w:pStyle w:val="TableText"/>
            </w:pPr>
            <w:r>
              <w:rPr/>
              <w:t xml:space="preserve">210</w:t>
            </w:r>
          </w:p>
        </w:tc>
        <w:tc>
          <w:tcPr>
            <w:tcW w:w="7315" w:type="dxa"/>
            <w:vAlign w:val="top"/>
          </w:tcPr>
          <w:p>
            <w:pPr>
              <w:pStyle w:val="TableText"/>
            </w:pPr>
            <w:r>
              <w:rPr/>
              <w:t xml:space="preserve">Сметный расчет</w:t>
            </w:r>
          </w:p>
        </w:tc>
      </w:tr>
    </w:tbl>
    <w:p>
      <w:pPr>
        <w:pStyle w:val="TableAfter"/>
      </w:pPr>
    </w:p>
    <w:p>
      <w:pPr>
        <w:pStyle w:val="Normal"/>
      </w:pPr>
      <w:r>
        <w:rPr/>
        <w:t xml:space="preserve">Шифр 100 в исходной модели является участником технологического процесса. Он не заменяет роль доступа «ГИП»; пользовательская роль и строка модели хранятся раздельно.</w:t>
      </w:r>
    </w:p>
    <w:p>
      <w:pPr>
        <w:pStyle w:val="Heading1"/>
      </w:pPr>
      <w:bookmarkStart w:id="20" w:name="section_20"/>
      <w:r>
        <w:rPr/>
        <w:t xml:space="preserve">Приложение Б. Исходный каталог сетевых моделей</w:t>
      </w:r>
      <w:bookmarkEnd w:id="20"/>
    </w:p>
    <w:tbl>
      <w:tblPr>
        <w:tblW w:w="9500" w:type="dxa"/>
        <w:tblLayout w:type="fixed"/>
        <w:tblBorders>
          <w:top w:val="single" w:sz="4" w:color="CBD6DF"/>
          <w:left w:val="single" w:sz="4" w:color="CBD6DF"/>
          <w:bottom w:val="single" w:sz="4" w:color="CBD6DF"/>
          <w:right w:val="single" w:sz="4" w:color="CBD6DF"/>
          <w:insideH w:val="single" w:sz="4" w:color="CBD6DF"/>
          <w:insideV w:val="single" w:sz="4" w:color="CBD6DF"/>
        </w:tblBorders>
        <w:tblCellMar>
          <w:top w:w="70" w:type="dxa"/>
          <w:bottom w:w="70" w:type="dxa"/>
          <w:left w:w="85" w:type="dxa"/>
          <w:right w:w="85" w:type="dxa"/>
        </w:tblCellMar>
      </w:tblPr>
      <w:tblGrid>
        <w:gridCol w:w="2185"/>
        <w:gridCol w:w="7315"/>
      </w:tblGrid>
      <w:tr>
        <w:trPr>
          <w:cantSplit/>
          <w:tblHeader/>
        </w:trPr>
        <w:tc>
          <w:tcPr>
            <w:tcW w:w="2185" w:type="dxa"/>
            <w:vAlign w:val="top"/>
            <w:shd w:fill="E7F0F5"/>
          </w:tcPr>
          <w:p>
            <w:pPr>
              <w:pStyle w:val="TableHeader"/>
            </w:pPr>
            <w:r>
              <w:rPr/>
              <w:t xml:space="preserve">Шифр</w:t>
            </w:r>
          </w:p>
        </w:tc>
        <w:tc>
          <w:tcPr>
            <w:tcW w:w="7315" w:type="dxa"/>
            <w:vAlign w:val="top"/>
            <w:shd w:fill="E7F0F5"/>
          </w:tcPr>
          <w:p>
            <w:pPr>
              <w:pStyle w:val="TableHeader"/>
            </w:pPr>
            <w:r>
              <w:rPr/>
              <w:t xml:space="preserve">Наименование</w:t>
            </w:r>
          </w:p>
        </w:tc>
      </w:tr>
      <w:tr>
        <w:trPr>
          <w:cantSplit/>
        </w:trPr>
        <w:tc>
          <w:tcPr>
            <w:tcW w:w="2185" w:type="dxa"/>
            <w:vAlign w:val="top"/>
          </w:tcPr>
          <w:p>
            <w:pPr>
              <w:pStyle w:val="TableText"/>
            </w:pPr>
            <w:r>
              <w:rPr/>
              <w:t xml:space="preserve">06-2</w:t>
            </w:r>
          </w:p>
        </w:tc>
        <w:tc>
          <w:tcPr>
            <w:tcW w:w="7315" w:type="dxa"/>
            <w:vAlign w:val="top"/>
          </w:tcPr>
          <w:p>
            <w:pPr>
              <w:pStyle w:val="TableText"/>
            </w:pPr>
            <w:r>
              <w:rPr/>
              <w:t xml:space="preserve">Новая железнодорожная линия, вторые пути</w:t>
            </w:r>
          </w:p>
        </w:tc>
      </w:tr>
      <w:tr>
        <w:trPr>
          <w:cantSplit/>
        </w:trPr>
        <w:tc>
          <w:tcPr>
            <w:tcW w:w="2185" w:type="dxa"/>
            <w:vAlign w:val="top"/>
            <w:shd w:fill="F7FAFC"/>
          </w:tcPr>
          <w:p>
            <w:pPr>
              <w:pStyle w:val="TableText"/>
            </w:pPr>
            <w:r>
              <w:rPr/>
              <w:t xml:space="preserve">07-2</w:t>
            </w:r>
          </w:p>
        </w:tc>
        <w:tc>
          <w:tcPr>
            <w:tcW w:w="7315" w:type="dxa"/>
            <w:vAlign w:val="top"/>
            <w:shd w:fill="F7FAFC"/>
          </w:tcPr>
          <w:p>
            <w:pPr>
              <w:pStyle w:val="TableText"/>
            </w:pPr>
            <w:r>
              <w:rPr/>
              <w:t xml:space="preserve">Гражданское здание, индивидуальный проект</w:t>
            </w:r>
          </w:p>
        </w:tc>
      </w:tr>
      <w:tr>
        <w:trPr>
          <w:cantSplit/>
        </w:trPr>
        <w:tc>
          <w:tcPr>
            <w:tcW w:w="2185" w:type="dxa"/>
            <w:vAlign w:val="top"/>
          </w:tcPr>
          <w:p>
            <w:pPr>
              <w:pStyle w:val="TableText"/>
            </w:pPr>
            <w:r>
              <w:rPr/>
              <w:t xml:space="preserve">09-2</w:t>
            </w:r>
          </w:p>
        </w:tc>
        <w:tc>
          <w:tcPr>
            <w:tcW w:w="7315" w:type="dxa"/>
            <w:vAlign w:val="top"/>
          </w:tcPr>
          <w:p>
            <w:pPr>
              <w:pStyle w:val="TableText"/>
            </w:pPr>
            <w:r>
              <w:rPr/>
              <w:t xml:space="preserve">Узел, станция, отдельный парк станции, подъездной путь со станцией примыкания, механизированный грузовой двор</w:t>
            </w:r>
          </w:p>
        </w:tc>
      </w:tr>
      <w:tr>
        <w:trPr>
          <w:cantSplit/>
        </w:trPr>
        <w:tc>
          <w:tcPr>
            <w:tcW w:w="2185" w:type="dxa"/>
            <w:vAlign w:val="top"/>
            <w:shd w:fill="F7FAFC"/>
          </w:tcPr>
          <w:p>
            <w:pPr>
              <w:pStyle w:val="TableText"/>
            </w:pPr>
            <w:r>
              <w:rPr/>
              <w:t xml:space="preserve">20-1</w:t>
            </w:r>
          </w:p>
        </w:tc>
        <w:tc>
          <w:tcPr>
            <w:tcW w:w="7315" w:type="dxa"/>
            <w:vAlign w:val="top"/>
            <w:shd w:fill="F7FAFC"/>
          </w:tcPr>
          <w:p>
            <w:pPr>
              <w:pStyle w:val="TableText"/>
            </w:pPr>
            <w:r>
              <w:rPr/>
              <w:t xml:space="preserve">Работа для любых стадий, выполняемая одной специальностью или несколькими параллельно</w:t>
            </w:r>
          </w:p>
        </w:tc>
      </w:tr>
      <w:tr>
        <w:trPr>
          <w:cantSplit/>
        </w:trPr>
        <w:tc>
          <w:tcPr>
            <w:tcW w:w="2185" w:type="dxa"/>
            <w:vAlign w:val="top"/>
          </w:tcPr>
          <w:p>
            <w:pPr>
              <w:pStyle w:val="TableText"/>
            </w:pPr>
            <w:r>
              <w:rPr/>
              <w:t xml:space="preserve">22-2</w:t>
            </w:r>
          </w:p>
        </w:tc>
        <w:tc>
          <w:tcPr>
            <w:tcW w:w="7315" w:type="dxa"/>
            <w:vAlign w:val="top"/>
          </w:tcPr>
          <w:p>
            <w:pPr>
              <w:pStyle w:val="TableText"/>
            </w:pPr>
            <w:r>
              <w:rPr/>
              <w:t xml:space="preserve">Сооружения водоснабжения и канализации</w:t>
            </w:r>
          </w:p>
        </w:tc>
      </w:tr>
      <w:tr>
        <w:trPr>
          <w:cantSplit/>
        </w:trPr>
        <w:tc>
          <w:tcPr>
            <w:tcW w:w="2185" w:type="dxa"/>
            <w:vAlign w:val="top"/>
            <w:shd w:fill="F7FAFC"/>
          </w:tcPr>
          <w:p>
            <w:pPr>
              <w:pStyle w:val="TableText"/>
            </w:pPr>
            <w:r>
              <w:rPr/>
              <w:t xml:space="preserve">22-4</w:t>
            </w:r>
          </w:p>
        </w:tc>
        <w:tc>
          <w:tcPr>
            <w:tcW w:w="7315" w:type="dxa"/>
            <w:vAlign w:val="top"/>
            <w:shd w:fill="F7FAFC"/>
          </w:tcPr>
          <w:p>
            <w:pPr>
              <w:pStyle w:val="TableText"/>
            </w:pPr>
            <w:r>
              <w:rPr/>
              <w:t xml:space="preserve">Котельные, тепловые сети, ЦРП</w:t>
            </w:r>
          </w:p>
        </w:tc>
      </w:tr>
      <w:tr>
        <w:trPr>
          <w:cantSplit/>
        </w:trPr>
        <w:tc>
          <w:tcPr>
            <w:tcW w:w="2185" w:type="dxa"/>
            <w:vAlign w:val="top"/>
          </w:tcPr>
          <w:p>
            <w:pPr>
              <w:pStyle w:val="TableText"/>
            </w:pPr>
            <w:r>
              <w:rPr/>
              <w:t xml:space="preserve">22-7</w:t>
            </w:r>
          </w:p>
        </w:tc>
        <w:tc>
          <w:tcPr>
            <w:tcW w:w="7315" w:type="dxa"/>
            <w:vAlign w:val="top"/>
          </w:tcPr>
          <w:p>
            <w:pPr>
              <w:pStyle w:val="TableText"/>
            </w:pPr>
            <w:r>
              <w:rPr/>
              <w:t xml:space="preserve">Производственное здание</w:t>
            </w:r>
          </w:p>
        </w:tc>
      </w:tr>
      <w:tr>
        <w:trPr>
          <w:cantSplit/>
        </w:trPr>
        <w:tc>
          <w:tcPr>
            <w:tcW w:w="2185" w:type="dxa"/>
            <w:vAlign w:val="top"/>
            <w:shd w:fill="F7FAFC"/>
          </w:tcPr>
          <w:p>
            <w:pPr>
              <w:pStyle w:val="TableText"/>
            </w:pPr>
            <w:r>
              <w:rPr/>
              <w:t xml:space="preserve">23-2</w:t>
            </w:r>
          </w:p>
        </w:tc>
        <w:tc>
          <w:tcPr>
            <w:tcW w:w="7315" w:type="dxa"/>
            <w:vAlign w:val="top"/>
            <w:shd w:fill="F7FAFC"/>
          </w:tcPr>
          <w:p>
            <w:pPr>
              <w:pStyle w:val="TableText"/>
            </w:pPr>
            <w:r>
              <w:rPr/>
              <w:t xml:space="preserve">Железнодорожные, автодорожные мосты и путепроводы</w:t>
            </w:r>
          </w:p>
        </w:tc>
      </w:tr>
      <w:tr>
        <w:trPr>
          <w:cantSplit/>
        </w:trPr>
        <w:tc>
          <w:tcPr>
            <w:tcW w:w="2185" w:type="dxa"/>
            <w:vAlign w:val="top"/>
          </w:tcPr>
          <w:p>
            <w:pPr>
              <w:pStyle w:val="TableText"/>
            </w:pPr>
            <w:r>
              <w:rPr/>
              <w:t xml:space="preserve">27-1</w:t>
            </w:r>
          </w:p>
        </w:tc>
        <w:tc>
          <w:tcPr>
            <w:tcW w:w="7315" w:type="dxa"/>
            <w:vAlign w:val="top"/>
          </w:tcPr>
          <w:p>
            <w:pPr>
              <w:pStyle w:val="TableText"/>
            </w:pPr>
            <w:r>
              <w:rPr/>
              <w:t xml:space="preserve">Электрификация участка железной дороги</w:t>
            </w:r>
          </w:p>
        </w:tc>
      </w:tr>
      <w:tr>
        <w:trPr>
          <w:cantSplit/>
        </w:trPr>
        <w:tc>
          <w:tcPr>
            <w:tcW w:w="2185" w:type="dxa"/>
            <w:vAlign w:val="top"/>
            <w:shd w:fill="F7FAFC"/>
          </w:tcPr>
          <w:p>
            <w:pPr>
              <w:pStyle w:val="TableText"/>
            </w:pPr>
            <w:r>
              <w:rPr/>
              <w:t xml:space="preserve">27-2</w:t>
            </w:r>
          </w:p>
        </w:tc>
        <w:tc>
          <w:tcPr>
            <w:tcW w:w="7315" w:type="dxa"/>
            <w:vAlign w:val="top"/>
            <w:shd w:fill="F7FAFC"/>
          </w:tcPr>
          <w:p>
            <w:pPr>
              <w:pStyle w:val="TableText"/>
            </w:pPr>
            <w:r>
              <w:rPr/>
              <w:t xml:space="preserve">Тяговая подстанция — генплан и подъездные пути, здание с инженерными сетями</w:t>
            </w:r>
          </w:p>
        </w:tc>
      </w:tr>
      <w:tr>
        <w:trPr>
          <w:cantSplit/>
        </w:trPr>
        <w:tc>
          <w:tcPr>
            <w:tcW w:w="2185" w:type="dxa"/>
            <w:vAlign w:val="top"/>
          </w:tcPr>
          <w:p>
            <w:pPr>
              <w:pStyle w:val="TableText"/>
            </w:pPr>
            <w:r>
              <w:rPr/>
              <w:t xml:space="preserve">27-3</w:t>
            </w:r>
          </w:p>
        </w:tc>
        <w:tc>
          <w:tcPr>
            <w:tcW w:w="7315" w:type="dxa"/>
            <w:vAlign w:val="top"/>
          </w:tcPr>
          <w:p>
            <w:pPr>
              <w:pStyle w:val="TableText"/>
            </w:pPr>
            <w:r>
              <w:rPr/>
              <w:t xml:space="preserve">Тяговая подстанция — технологическая и строительная часть по ОРУ 110 кВ</w:t>
            </w:r>
          </w:p>
        </w:tc>
      </w:tr>
      <w:tr>
        <w:trPr>
          <w:cantSplit/>
        </w:trPr>
        <w:tc>
          <w:tcPr>
            <w:tcW w:w="2185" w:type="dxa"/>
            <w:vAlign w:val="top"/>
            <w:shd w:fill="F7FAFC"/>
          </w:tcPr>
          <w:p>
            <w:pPr>
              <w:pStyle w:val="TableText"/>
            </w:pPr>
            <w:r>
              <w:rPr/>
              <w:t xml:space="preserve">27-4</w:t>
            </w:r>
          </w:p>
        </w:tc>
        <w:tc>
          <w:tcPr>
            <w:tcW w:w="7315" w:type="dxa"/>
            <w:vAlign w:val="top"/>
            <w:shd w:fill="F7FAFC"/>
          </w:tcPr>
          <w:p>
            <w:pPr>
              <w:pStyle w:val="TableText"/>
            </w:pPr>
            <w:r>
              <w:rPr/>
              <w:t xml:space="preserve">Контактная сеть на перегоне (станции) с выносом коммуникаций</w:t>
            </w:r>
          </w:p>
        </w:tc>
      </w:tr>
      <w:tr>
        <w:trPr>
          <w:cantSplit/>
        </w:trPr>
        <w:tc>
          <w:tcPr>
            <w:tcW w:w="2185" w:type="dxa"/>
            <w:vAlign w:val="top"/>
          </w:tcPr>
          <w:p>
            <w:pPr>
              <w:pStyle w:val="TableText"/>
            </w:pPr>
            <w:r>
              <w:rPr/>
              <w:t xml:space="preserve">27-5</w:t>
            </w:r>
          </w:p>
        </w:tc>
        <w:tc>
          <w:tcPr>
            <w:tcW w:w="7315" w:type="dxa"/>
            <w:vAlign w:val="top"/>
          </w:tcPr>
          <w:p>
            <w:pPr>
              <w:pStyle w:val="TableText"/>
            </w:pPr>
            <w:r>
              <w:rPr/>
              <w:t xml:space="preserve">ЛЭП до 10 кВ, наружное освещение, переходы, пункты питания и подстанции</w:t>
            </w:r>
          </w:p>
        </w:tc>
      </w:tr>
      <w:tr>
        <w:trPr>
          <w:cantSplit/>
        </w:trPr>
        <w:tc>
          <w:tcPr>
            <w:tcW w:w="2185" w:type="dxa"/>
            <w:vAlign w:val="top"/>
            <w:shd w:fill="F7FAFC"/>
          </w:tcPr>
          <w:p>
            <w:pPr>
              <w:pStyle w:val="TableText"/>
            </w:pPr>
            <w:r>
              <w:rPr/>
              <w:t xml:space="preserve">27-6</w:t>
            </w:r>
          </w:p>
        </w:tc>
        <w:tc>
          <w:tcPr>
            <w:tcW w:w="7315" w:type="dxa"/>
            <w:vAlign w:val="top"/>
            <w:shd w:fill="F7FAFC"/>
          </w:tcPr>
          <w:p>
            <w:pPr>
              <w:pStyle w:val="TableText"/>
            </w:pPr>
            <w:r>
              <w:rPr/>
              <w:t xml:space="preserve">Малые здания службы электрификации</w:t>
            </w:r>
          </w:p>
        </w:tc>
      </w:tr>
      <w:tr>
        <w:trPr>
          <w:cantSplit/>
        </w:trPr>
        <w:tc>
          <w:tcPr>
            <w:tcW w:w="2185" w:type="dxa"/>
            <w:vAlign w:val="top"/>
          </w:tcPr>
          <w:p>
            <w:pPr>
              <w:pStyle w:val="TableText"/>
            </w:pPr>
            <w:r>
              <w:rPr/>
              <w:t xml:space="preserve">29-1</w:t>
            </w:r>
          </w:p>
        </w:tc>
        <w:tc>
          <w:tcPr>
            <w:tcW w:w="7315" w:type="dxa"/>
            <w:vAlign w:val="top"/>
          </w:tcPr>
          <w:p>
            <w:pPr>
              <w:pStyle w:val="TableText"/>
            </w:pPr>
            <w:r>
              <w:rPr/>
              <w:t xml:space="preserve">Участок диспетчерской централизации и автоблокировки. Посты ЭЦ</w:t>
            </w:r>
          </w:p>
        </w:tc>
      </w:tr>
      <w:tr>
        <w:trPr>
          <w:cantSplit/>
        </w:trPr>
        <w:tc>
          <w:tcPr>
            <w:tcW w:w="2185" w:type="dxa"/>
            <w:vAlign w:val="top"/>
            <w:shd w:fill="F7FAFC"/>
          </w:tcPr>
          <w:p>
            <w:pPr>
              <w:pStyle w:val="TableText"/>
            </w:pPr>
            <w:r>
              <w:rPr/>
              <w:t xml:space="preserve">29-2</w:t>
            </w:r>
          </w:p>
        </w:tc>
        <w:tc>
          <w:tcPr>
            <w:tcW w:w="7315" w:type="dxa"/>
            <w:vAlign w:val="top"/>
            <w:shd w:fill="F7FAFC"/>
          </w:tcPr>
          <w:p>
            <w:pPr>
              <w:pStyle w:val="TableText"/>
            </w:pPr>
            <w:r>
              <w:rPr/>
              <w:t xml:space="preserve">Магистральная кабельная линия связи участка</w:t>
            </w:r>
          </w:p>
        </w:tc>
      </w:tr>
      <w:tr>
        <w:trPr>
          <w:cantSplit/>
        </w:trPr>
        <w:tc>
          <w:tcPr>
            <w:tcW w:w="2185" w:type="dxa"/>
            <w:vAlign w:val="top"/>
          </w:tcPr>
          <w:p>
            <w:pPr>
              <w:pStyle w:val="TableText"/>
            </w:pPr>
            <w:r>
              <w:rPr/>
              <w:t xml:space="preserve">29-3</w:t>
            </w:r>
          </w:p>
        </w:tc>
        <w:tc>
          <w:tcPr>
            <w:tcW w:w="7315" w:type="dxa"/>
            <w:vAlign w:val="top"/>
          </w:tcPr>
          <w:p>
            <w:pPr>
              <w:pStyle w:val="TableText"/>
            </w:pPr>
            <w:r>
              <w:rPr/>
              <w:t xml:space="preserve">Устройства СЦБ на больших и малых станциях и/или в отдельных парках. Устройства СЦБ на посту ДЦ</w:t>
            </w:r>
          </w:p>
        </w:tc>
      </w:tr>
    </w:tbl>
    <w:p>
      <w:pPr>
        <w:pStyle w:val="TableAfter"/>
      </w:pPr>
    </w:p>
    <w:p>
      <w:pPr>
        <w:pStyle w:val="Normal"/>
      </w:pPr>
      <w:r>
        <w:rPr/>
        <w:t xml:space="preserve">Пунктуация и лишние пробелы нормализованы для чтения; технологические связи по названию модели не восстанавливаются.</w:t>
      </w:r>
    </w:p>
    <w:p>
      <w:pPr>
        <w:pStyle w:val="Heading1"/>
      </w:pPr>
      <w:bookmarkStart w:id="21" w:name="section_21"/>
      <w:r>
        <w:rPr/>
        <w:t xml:space="preserve">Приложение В. Передачи модели 23-2 из исходного документа</w:t>
      </w:r>
      <w:bookmarkEnd w:id="21"/>
    </w:p>
    <w:p>
      <w:pPr>
        <w:pStyle w:val="Normal"/>
      </w:pPr>
      <w:r>
        <w:rPr/>
        <w:t xml:space="preserve">Это исходные технологические данные для переноса и проверки. Списки участников не означают автоматически все попарные связи. Показанные ниже записи не являются утверждённым полным графом CPM.</w:t>
      </w:r>
    </w:p>
    <w:tbl>
      <w:tblPr>
        <w:tblW w:w="9500" w:type="dxa"/>
        <w:tblLayout w:type="fixed"/>
        <w:tblBorders>
          <w:top w:val="single" w:sz="4" w:color="CBD6DF"/>
          <w:left w:val="single" w:sz="4" w:color="CBD6DF"/>
          <w:bottom w:val="single" w:sz="4" w:color="CBD6DF"/>
          <w:right w:val="single" w:sz="4" w:color="CBD6DF"/>
          <w:insideH w:val="single" w:sz="4" w:color="CBD6DF"/>
          <w:insideV w:val="single" w:sz="4" w:color="CBD6DF"/>
        </w:tblBorders>
        <w:tblCellMar>
          <w:top w:w="70" w:type="dxa"/>
          <w:bottom w:w="70" w:type="dxa"/>
          <w:left w:w="85" w:type="dxa"/>
          <w:right w:w="85" w:type="dxa"/>
        </w:tblCellMar>
      </w:tblPr>
      <w:tblGrid>
        <w:gridCol w:w="1264"/>
        <w:gridCol w:w="2311"/>
        <w:gridCol w:w="2058"/>
        <w:gridCol w:w="3867"/>
      </w:tblGrid>
      <w:tr>
        <w:trPr>
          <w:cantSplit/>
          <w:tblHeader/>
        </w:trPr>
        <w:tc>
          <w:tcPr>
            <w:tcW w:w="1264" w:type="dxa"/>
            <w:vAlign w:val="top"/>
            <w:shd w:fill="E7F0F5"/>
          </w:tcPr>
          <w:p>
            <w:pPr>
              <w:pStyle w:val="TableHeader"/>
            </w:pPr>
            <w:r>
              <w:rPr/>
              <w:t xml:space="preserve">Событие</w:t>
            </w:r>
          </w:p>
        </w:tc>
        <w:tc>
          <w:tcPr>
            <w:tcW w:w="2311" w:type="dxa"/>
            <w:vAlign w:val="top"/>
            <w:shd w:fill="E7F0F5"/>
          </w:tcPr>
          <w:p>
            <w:pPr>
              <w:pStyle w:val="TableHeader"/>
            </w:pPr>
            <w:r>
              <w:rPr/>
              <w:t xml:space="preserve">Выдающая специальность</w:t>
            </w:r>
          </w:p>
        </w:tc>
        <w:tc>
          <w:tcPr>
            <w:tcW w:w="2058" w:type="dxa"/>
            <w:vAlign w:val="top"/>
            <w:shd w:fill="E7F0F5"/>
          </w:tcPr>
          <w:p>
            <w:pPr>
              <w:pStyle w:val="TableHeader"/>
            </w:pPr>
            <w:r>
              <w:rPr/>
              <w:t xml:space="preserve">Получающая специальность</w:t>
            </w:r>
          </w:p>
        </w:tc>
        <w:tc>
          <w:tcPr>
            <w:tcW w:w="3867" w:type="dxa"/>
            <w:vAlign w:val="top"/>
            <w:shd w:fill="E7F0F5"/>
          </w:tcPr>
          <w:p>
            <w:pPr>
              <w:pStyle w:val="TableHeader"/>
            </w:pPr>
            <w:r>
              <w:rPr/>
              <w:t xml:space="preserve">Содержание</w:t>
            </w:r>
          </w:p>
        </w:tc>
      </w:tr>
      <w:tr>
        <w:trPr>
          <w:cantSplit/>
        </w:trPr>
        <w:tc>
          <w:tcPr>
            <w:tcW w:w="1264" w:type="dxa"/>
            <w:vAlign w:val="top"/>
          </w:tcPr>
          <w:p>
            <w:pPr>
              <w:pStyle w:val="TableText"/>
            </w:pPr>
            <w:r>
              <w:rPr/>
              <w:t xml:space="preserve">1</w:t>
            </w:r>
          </w:p>
        </w:tc>
        <w:tc>
          <w:tcPr>
            <w:tcW w:w="2311" w:type="dxa"/>
            <w:vAlign w:val="top"/>
          </w:tcPr>
          <w:p>
            <w:pPr>
              <w:pStyle w:val="TableText"/>
            </w:pPr>
            <w:r>
              <w:rPr/>
              <w:t xml:space="preserve">100</w:t>
            </w:r>
          </w:p>
        </w:tc>
        <w:tc>
          <w:tcPr>
            <w:tcW w:w="2058" w:type="dxa"/>
            <w:vAlign w:val="top"/>
          </w:tcPr>
          <w:p>
            <w:pPr>
              <w:pStyle w:val="TableText"/>
            </w:pPr>
            <w:r>
              <w:rPr/>
              <w:t xml:space="preserve">232</w:t>
            </w:r>
          </w:p>
        </w:tc>
        <w:tc>
          <w:tcPr>
            <w:tcW w:w="3867" w:type="dxa"/>
            <w:vAlign w:val="top"/>
          </w:tcPr>
          <w:p>
            <w:pPr>
              <w:pStyle w:val="TableText"/>
            </w:pPr>
            <w:r>
              <w:rPr/>
              <w:t xml:space="preserve">Материалы изысканий, акт выбора местоположения, АПЗ, технические условия, особые требования и др.</w:t>
            </w:r>
          </w:p>
        </w:tc>
      </w:tr>
      <w:tr>
        <w:trPr>
          <w:cantSplit/>
        </w:trPr>
        <w:tc>
          <w:tcPr>
            <w:tcW w:w="1264" w:type="dxa"/>
            <w:vAlign w:val="top"/>
            <w:shd w:fill="F7FAFC"/>
          </w:tcPr>
          <w:p>
            <w:pPr>
              <w:pStyle w:val="TableText"/>
            </w:pPr>
            <w:r>
              <w:rPr/>
              <w:t xml:space="preserve">2</w:t>
            </w:r>
          </w:p>
        </w:tc>
        <w:tc>
          <w:tcPr>
            <w:tcW w:w="2311" w:type="dxa"/>
            <w:vAlign w:val="top"/>
            <w:shd w:fill="F7FAFC"/>
          </w:tcPr>
          <w:p>
            <w:pPr>
              <w:pStyle w:val="TableText"/>
            </w:pPr>
            <w:r>
              <w:rPr/>
              <w:t xml:space="preserve">232, 100</w:t>
            </w:r>
          </w:p>
        </w:tc>
        <w:tc>
          <w:tcPr>
            <w:tcW w:w="2058" w:type="dxa"/>
            <w:vAlign w:val="top"/>
            <w:shd w:fill="F7FAFC"/>
          </w:tcPr>
          <w:p>
            <w:pPr>
              <w:pStyle w:val="TableText"/>
            </w:pPr>
            <w:r>
              <w:rPr/>
              <w:t xml:space="preserve">062, 092, 093, 072, 232</w:t>
            </w:r>
          </w:p>
        </w:tc>
        <w:tc>
          <w:tcPr>
            <w:tcW w:w="3867" w:type="dxa"/>
            <w:vAlign w:val="top"/>
            <w:shd w:fill="F7FAFC"/>
          </w:tcPr>
          <w:p>
            <w:pPr>
              <w:pStyle w:val="TableText"/>
            </w:pPr>
            <w:r>
              <w:rPr/>
              <w:t xml:space="preserve">Сигнальные чертежи общего вида сооружения, план подходов. Уточнённые/повторные данные для расчёта</w:t>
            </w:r>
          </w:p>
        </w:tc>
      </w:tr>
      <w:tr>
        <w:trPr>
          <w:cantSplit/>
        </w:trPr>
        <w:tc>
          <w:tcPr>
            <w:tcW w:w="1264" w:type="dxa"/>
            <w:vAlign w:val="top"/>
          </w:tcPr>
          <w:p>
            <w:pPr>
              <w:pStyle w:val="TableText"/>
            </w:pPr>
            <w:r>
              <w:rPr/>
              <w:t xml:space="preserve">3, передача 1</w:t>
            </w:r>
          </w:p>
        </w:tc>
        <w:tc>
          <w:tcPr>
            <w:tcW w:w="2311" w:type="dxa"/>
            <w:vAlign w:val="top"/>
          </w:tcPr>
          <w:p>
            <w:pPr>
              <w:pStyle w:val="TableText"/>
            </w:pPr>
            <w:r>
              <w:rPr/>
              <w:t xml:space="preserve">062, 092, 072</w:t>
            </w:r>
          </w:p>
        </w:tc>
        <w:tc>
          <w:tcPr>
            <w:tcW w:w="2058" w:type="dxa"/>
            <w:vAlign w:val="top"/>
          </w:tcPr>
          <w:p>
            <w:pPr>
              <w:pStyle w:val="TableText"/>
            </w:pPr>
            <w:r>
              <w:rPr/>
              <w:t xml:space="preserve">232</w:t>
            </w:r>
          </w:p>
        </w:tc>
        <w:tc>
          <w:tcPr>
            <w:tcW w:w="3867" w:type="dxa"/>
            <w:vAlign w:val="top"/>
          </w:tcPr>
          <w:p>
            <w:pPr>
              <w:pStyle w:val="TableText"/>
            </w:pPr>
            <w:r>
              <w:rPr/>
              <w:t xml:space="preserve">Результаты расчётов</w:t>
            </w:r>
          </w:p>
        </w:tc>
      </w:tr>
      <w:tr>
        <w:trPr>
          <w:cantSplit/>
        </w:trPr>
        <w:tc>
          <w:tcPr>
            <w:tcW w:w="1264" w:type="dxa"/>
            <w:vAlign w:val="top"/>
            <w:shd w:fill="F7FAFC"/>
          </w:tcPr>
          <w:p>
            <w:pPr>
              <w:pStyle w:val="TableText"/>
            </w:pPr>
            <w:r>
              <w:rPr/>
              <w:t xml:space="preserve">3, передача 2</w:t>
            </w:r>
          </w:p>
        </w:tc>
        <w:tc>
          <w:tcPr>
            <w:tcW w:w="2311" w:type="dxa"/>
            <w:vAlign w:val="top"/>
            <w:shd w:fill="F7FAFC"/>
          </w:tcPr>
          <w:p>
            <w:pPr>
              <w:pStyle w:val="TableText"/>
            </w:pPr>
            <w:r>
              <w:rPr/>
              <w:t xml:space="preserve">062, 092, 072 — общая объединённая ячейка с предыдущей строкой</w:t>
            </w:r>
          </w:p>
        </w:tc>
        <w:tc>
          <w:tcPr>
            <w:tcW w:w="2058" w:type="dxa"/>
            <w:vAlign w:val="top"/>
            <w:shd w:fill="F7FAFC"/>
          </w:tcPr>
          <w:p>
            <w:pPr>
              <w:pStyle w:val="TableText"/>
            </w:pPr>
            <w:r>
              <w:rPr/>
              <w:t xml:space="preserve">193</w:t>
            </w:r>
          </w:p>
        </w:tc>
        <w:tc>
          <w:tcPr>
            <w:tcW w:w="3867" w:type="dxa"/>
            <w:vAlign w:val="top"/>
            <w:shd w:fill="F7FAFC"/>
          </w:tcPr>
          <w:p>
            <w:pPr>
              <w:pStyle w:val="TableText"/>
            </w:pPr>
            <w:r>
              <w:rPr/>
              <w:t xml:space="preserve">Задание на размножение сигнальных чертежей путевого переустройства, генплана ВОХРа</w:t>
            </w:r>
          </w:p>
        </w:tc>
      </w:tr>
      <w:tr>
        <w:trPr>
          <w:cantSplit/>
        </w:trPr>
        <w:tc>
          <w:tcPr>
            <w:tcW w:w="1264" w:type="dxa"/>
            <w:vAlign w:val="top"/>
          </w:tcPr>
          <w:p>
            <w:pPr>
              <w:pStyle w:val="TableText"/>
            </w:pPr>
            <w:r>
              <w:rPr/>
              <w:t xml:space="preserve">4</w:t>
            </w:r>
          </w:p>
        </w:tc>
        <w:tc>
          <w:tcPr>
            <w:tcW w:w="2311" w:type="dxa"/>
            <w:vAlign w:val="top"/>
          </w:tcPr>
          <w:p>
            <w:pPr>
              <w:pStyle w:val="TableText"/>
            </w:pPr>
            <w:r>
              <w:rPr/>
              <w:t xml:space="preserve">232, 072, 193</w:t>
            </w:r>
          </w:p>
        </w:tc>
        <w:tc>
          <w:tcPr>
            <w:tcW w:w="2058" w:type="dxa"/>
            <w:vAlign w:val="top"/>
          </w:tcPr>
          <w:p>
            <w:pPr>
              <w:pStyle w:val="TableText"/>
            </w:pPr>
            <w:r>
              <w:rPr/>
              <w:t xml:space="preserve">062, 092, 093, 241, 292, 293, 272, 274, 222, 224, 072</w:t>
            </w:r>
          </w:p>
        </w:tc>
        <w:tc>
          <w:tcPr>
            <w:tcW w:w="3867" w:type="dxa"/>
            <w:vAlign w:val="top"/>
          </w:tcPr>
          <w:p>
            <w:pPr>
              <w:pStyle w:val="TableText"/>
            </w:pPr>
            <w:r>
              <w:rPr/>
              <w:t xml:space="preserve">Задание на разработку разделов проекта. Размноженные сигнальные чертежи</w:t>
            </w:r>
          </w:p>
        </w:tc>
      </w:tr>
      <w:tr>
        <w:trPr>
          <w:cantSplit/>
        </w:trPr>
        <w:tc>
          <w:tcPr>
            <w:tcW w:w="1264" w:type="dxa"/>
            <w:vAlign w:val="top"/>
            <w:shd w:fill="F7FAFC"/>
          </w:tcPr>
          <w:p>
            <w:pPr>
              <w:pStyle w:val="TableText"/>
            </w:pPr>
            <w:r>
              <w:rPr/>
              <w:t xml:space="preserve">5, передача 1</w:t>
            </w:r>
          </w:p>
        </w:tc>
        <w:tc>
          <w:tcPr>
            <w:tcW w:w="2311" w:type="dxa"/>
            <w:vAlign w:val="top"/>
            <w:shd w:fill="F7FAFC"/>
          </w:tcPr>
          <w:p>
            <w:pPr>
              <w:pStyle w:val="TableText"/>
            </w:pPr>
            <w:r>
              <w:rPr/>
              <w:t xml:space="preserve">222</w:t>
            </w:r>
          </w:p>
        </w:tc>
        <w:tc>
          <w:tcPr>
            <w:tcW w:w="2058" w:type="dxa"/>
            <w:vAlign w:val="top"/>
            <w:shd w:fill="F7FAFC"/>
          </w:tcPr>
          <w:p>
            <w:pPr>
              <w:pStyle w:val="TableText"/>
            </w:pPr>
            <w:r>
              <w:rPr/>
              <w:t xml:space="preserve">272</w:t>
            </w:r>
          </w:p>
        </w:tc>
        <w:tc>
          <w:tcPr>
            <w:tcW w:w="3867" w:type="dxa"/>
            <w:vAlign w:val="top"/>
            <w:shd w:fill="F7FAFC"/>
          </w:tcPr>
          <w:p>
            <w:pPr>
              <w:pStyle w:val="TableText"/>
            </w:pPr>
            <w:r>
              <w:rPr/>
              <w:t xml:space="preserve">Электрические нагрузки</w:t>
            </w:r>
          </w:p>
        </w:tc>
      </w:tr>
      <w:tr>
        <w:trPr>
          <w:cantSplit/>
        </w:trPr>
        <w:tc>
          <w:tcPr>
            <w:tcW w:w="1264" w:type="dxa"/>
            <w:vAlign w:val="top"/>
          </w:tcPr>
          <w:p>
            <w:pPr>
              <w:pStyle w:val="TableText"/>
            </w:pPr>
            <w:r>
              <w:rPr/>
              <w:t xml:space="preserve">5, передача 2</w:t>
            </w:r>
          </w:p>
        </w:tc>
        <w:tc>
          <w:tcPr>
            <w:tcW w:w="2311" w:type="dxa"/>
            <w:vAlign w:val="top"/>
          </w:tcPr>
          <w:p>
            <w:pPr>
              <w:pStyle w:val="TableText"/>
            </w:pPr>
            <w:r>
              <w:rPr/>
              <w:t xml:space="preserve">292, 293, 272, 274, 222, 224</w:t>
            </w:r>
          </w:p>
        </w:tc>
        <w:tc>
          <w:tcPr>
            <w:tcW w:w="2058" w:type="dxa"/>
            <w:vAlign w:val="top"/>
          </w:tcPr>
          <w:p>
            <w:pPr>
              <w:pStyle w:val="TableText"/>
            </w:pPr>
            <w:r>
              <w:rPr/>
              <w:t xml:space="preserve">232</w:t>
            </w:r>
          </w:p>
        </w:tc>
        <w:tc>
          <w:tcPr>
            <w:tcW w:w="3867" w:type="dxa"/>
            <w:vAlign w:val="top"/>
          </w:tcPr>
          <w:p>
            <w:pPr>
              <w:pStyle w:val="TableText"/>
            </w:pPr>
            <w:r>
              <w:rPr/>
              <w:t xml:space="preserve">Сигнальные чертежи переустройства коммуникаций для увязки конструктивных решений</w:t>
            </w:r>
          </w:p>
        </w:tc>
      </w:tr>
      <w:tr>
        <w:trPr>
          <w:cantSplit/>
        </w:trPr>
        <w:tc>
          <w:tcPr>
            <w:tcW w:w="1264" w:type="dxa"/>
            <w:vAlign w:val="top"/>
            <w:shd w:fill="F7FAFC"/>
          </w:tcPr>
          <w:p>
            <w:pPr>
              <w:pStyle w:val="TableText"/>
            </w:pPr>
            <w:r>
              <w:rPr/>
              <w:t xml:space="preserve">6</w:t>
            </w:r>
          </w:p>
        </w:tc>
        <w:tc>
          <w:tcPr>
            <w:tcW w:w="2311" w:type="dxa"/>
            <w:vAlign w:val="top"/>
            <w:shd w:fill="F7FAFC"/>
          </w:tcPr>
          <w:p>
            <w:pPr>
              <w:pStyle w:val="TableText"/>
            </w:pPr>
            <w:r>
              <w:rPr/>
              <w:t xml:space="preserve">232</w:t>
            </w:r>
          </w:p>
        </w:tc>
        <w:tc>
          <w:tcPr>
            <w:tcW w:w="2058" w:type="dxa"/>
            <w:vAlign w:val="top"/>
            <w:shd w:fill="F7FAFC"/>
          </w:tcPr>
          <w:p>
            <w:pPr>
              <w:pStyle w:val="TableText"/>
            </w:pPr>
            <w:r>
              <w:rPr/>
              <w:t xml:space="preserve">064</w:t>
            </w:r>
          </w:p>
        </w:tc>
        <w:tc>
          <w:tcPr>
            <w:tcW w:w="3867" w:type="dxa"/>
            <w:vAlign w:val="top"/>
            <w:shd w:fill="F7FAFC"/>
          </w:tcPr>
          <w:p>
            <w:pPr>
              <w:pStyle w:val="TableText"/>
            </w:pPr>
            <w:r>
              <w:rPr/>
              <w:t xml:space="preserve">Данные для составления ПОС</w:t>
            </w:r>
          </w:p>
        </w:tc>
      </w:tr>
      <w:tr>
        <w:trPr>
          <w:cantSplit/>
        </w:trPr>
        <w:tc>
          <w:tcPr>
            <w:tcW w:w="1264" w:type="dxa"/>
            <w:vAlign w:val="top"/>
          </w:tcPr>
          <w:p>
            <w:pPr>
              <w:pStyle w:val="TableText"/>
            </w:pPr>
            <w:r>
              <w:rPr/>
              <w:t xml:space="preserve">7</w:t>
            </w:r>
          </w:p>
        </w:tc>
        <w:tc>
          <w:tcPr>
            <w:tcW w:w="2311" w:type="dxa"/>
            <w:vAlign w:val="top"/>
          </w:tcPr>
          <w:p>
            <w:pPr>
              <w:pStyle w:val="TableText"/>
            </w:pPr>
            <w:r>
              <w:rPr/>
              <w:t xml:space="preserve">062, 064, 092, 093, 241, 292, 293, 272, 274, 222, 224, 072, 232</w:t>
            </w:r>
          </w:p>
        </w:tc>
        <w:tc>
          <w:tcPr>
            <w:tcW w:w="2058" w:type="dxa"/>
            <w:vAlign w:val="top"/>
          </w:tcPr>
          <w:p>
            <w:pPr>
              <w:pStyle w:val="TableText"/>
            </w:pPr>
            <w:r>
              <w:rPr/>
              <w:t xml:space="preserve">232</w:t>
            </w:r>
          </w:p>
        </w:tc>
        <w:tc>
          <w:tcPr>
            <w:tcW w:w="3867" w:type="dxa"/>
            <w:vAlign w:val="top"/>
          </w:tcPr>
          <w:p>
            <w:pPr>
              <w:pStyle w:val="TableText"/>
            </w:pPr>
            <w:r>
              <w:rPr/>
              <w:t xml:space="preserve">Сдача готовых разделов проекта</w:t>
            </w:r>
          </w:p>
        </w:tc>
      </w:tr>
      <w:tr>
        <w:trPr>
          <w:cantSplit/>
        </w:trPr>
        <w:tc>
          <w:tcPr>
            <w:tcW w:w="1264" w:type="dxa"/>
            <w:vAlign w:val="top"/>
            <w:shd w:fill="F7FAFC"/>
          </w:tcPr>
          <w:p>
            <w:pPr>
              <w:pStyle w:val="TableText"/>
            </w:pPr>
            <w:r>
              <w:rPr/>
              <w:t xml:space="preserve">8</w:t>
            </w:r>
          </w:p>
        </w:tc>
        <w:tc>
          <w:tcPr>
            <w:tcW w:w="2311" w:type="dxa"/>
            <w:vAlign w:val="top"/>
            <w:shd w:fill="F7FAFC"/>
          </w:tcPr>
          <w:p>
            <w:pPr>
              <w:pStyle w:val="TableText"/>
            </w:pPr>
            <w:r>
              <w:rPr/>
              <w:t xml:space="preserve">232</w:t>
            </w:r>
          </w:p>
        </w:tc>
        <w:tc>
          <w:tcPr>
            <w:tcW w:w="2058" w:type="dxa"/>
            <w:vAlign w:val="top"/>
            <w:shd w:fill="F7FAFC"/>
          </w:tcPr>
          <w:p>
            <w:pPr>
              <w:pStyle w:val="TableText"/>
            </w:pPr>
            <w:r>
              <w:rPr/>
              <w:t xml:space="preserve">100</w:t>
            </w:r>
          </w:p>
        </w:tc>
        <w:tc>
          <w:tcPr>
            <w:tcW w:w="3867" w:type="dxa"/>
            <w:vAlign w:val="top"/>
            <w:shd w:fill="F7FAFC"/>
          </w:tcPr>
          <w:p>
            <w:pPr>
              <w:pStyle w:val="TableText"/>
            </w:pPr>
            <w:r>
              <w:rPr/>
              <w:t xml:space="preserve">Сдача ГИПу всех материалов</w:t>
            </w:r>
          </w:p>
        </w:tc>
      </w:tr>
      <w:tr>
        <w:trPr>
          <w:cantSplit/>
        </w:trPr>
        <w:tc>
          <w:tcPr>
            <w:tcW w:w="1264" w:type="dxa"/>
            <w:vAlign w:val="top"/>
          </w:tcPr>
          <w:p>
            <w:pPr>
              <w:pStyle w:val="TableText"/>
            </w:pPr>
            <w:r>
              <w:rPr/>
              <w:t xml:space="preserve">9</w:t>
            </w:r>
          </w:p>
        </w:tc>
        <w:tc>
          <w:tcPr>
            <w:tcW w:w="2311" w:type="dxa"/>
            <w:vAlign w:val="top"/>
          </w:tcPr>
          <w:p>
            <w:pPr>
              <w:pStyle w:val="TableText"/>
            </w:pPr>
            <w:r>
              <w:rPr/>
              <w:t xml:space="preserve">100</w:t>
            </w:r>
          </w:p>
        </w:tc>
        <w:tc>
          <w:tcPr>
            <w:tcW w:w="2058" w:type="dxa"/>
            <w:vAlign w:val="top"/>
          </w:tcPr>
          <w:p>
            <w:pPr>
              <w:pStyle w:val="TableText"/>
            </w:pPr>
            <w:r>
              <w:rPr/>
              <w:t xml:space="preserve">193</w:t>
            </w:r>
          </w:p>
        </w:tc>
        <w:tc>
          <w:tcPr>
            <w:tcW w:w="3867" w:type="dxa"/>
            <w:vAlign w:val="top"/>
          </w:tcPr>
          <w:p>
            <w:pPr>
              <w:pStyle w:val="TableText"/>
            </w:pPr>
            <w:r>
              <w:rPr/>
              <w:t xml:space="preserve">Сдача материалов на оформление</w:t>
            </w:r>
          </w:p>
        </w:tc>
      </w:tr>
      <w:tr>
        <w:trPr>
          <w:cantSplit/>
        </w:trPr>
        <w:tc>
          <w:tcPr>
            <w:tcW w:w="1264" w:type="dxa"/>
            <w:vAlign w:val="top"/>
            <w:shd w:fill="F7FAFC"/>
          </w:tcPr>
          <w:p>
            <w:pPr>
              <w:pStyle w:val="TableText"/>
            </w:pPr>
            <w:r>
              <w:rPr/>
              <w:t xml:space="preserve">10</w:t>
            </w:r>
          </w:p>
        </w:tc>
        <w:tc>
          <w:tcPr>
            <w:tcW w:w="2311" w:type="dxa"/>
            <w:vAlign w:val="top"/>
            <w:shd w:fill="F7FAFC"/>
          </w:tcPr>
          <w:p>
            <w:pPr>
              <w:pStyle w:val="TableText"/>
            </w:pPr>
            <w:r>
              <w:rPr/>
              <w:t xml:space="preserve">193</w:t>
            </w:r>
          </w:p>
        </w:tc>
        <w:tc>
          <w:tcPr>
            <w:tcW w:w="2058" w:type="dxa"/>
            <w:vAlign w:val="top"/>
            <w:shd w:fill="F7FAFC"/>
          </w:tcPr>
          <w:p>
            <w:pPr>
              <w:pStyle w:val="TableText"/>
            </w:pPr>
            <w:r>
              <w:rPr/>
              <w:t xml:space="preserve">В таблице не указан; по содержанию — архив и заказчик</w:t>
            </w:r>
          </w:p>
        </w:tc>
        <w:tc>
          <w:tcPr>
            <w:tcW w:w="3867" w:type="dxa"/>
            <w:vAlign w:val="top"/>
            <w:shd w:fill="F7FAFC"/>
          </w:tcPr>
          <w:p>
            <w:pPr>
              <w:pStyle w:val="TableText"/>
            </w:pPr>
            <w:r>
              <w:rPr/>
              <w:t xml:space="preserve">Сдача материалов в архив и отправка заказчику</w:t>
            </w:r>
          </w:p>
        </w:tc>
      </w:tr>
    </w:tbl>
    <w:p>
      <w:pPr>
        <w:pStyle w:val="TableAfter"/>
      </w:pPr>
    </w:p>
    <w:p>
      <w:pPr>
        <w:pStyle w:val="Normal"/>
      </w:pPr>
      <w:r>
        <w:rPr/>
        <w:t xml:space="preserve">При подготовке шаблона событие 10 целесообразно разделить на передачи «в архив» и «заказчику» с общей группой события. Это проектное решение, которое не меняет исходную запись и не утверждает, что такие даты в старом процессе совпадали.</w:t>
      </w:r>
    </w:p>
    <w:p>
      <w:pPr>
        <w:pStyle w:val="Heading1"/>
      </w:pPr>
      <w:bookmarkStart w:id="22" w:name="section_22"/>
      <w:r>
        <w:rPr/>
        <w:t xml:space="preserve">Приложение Г. Минимальные колонки Excel-шаблона</w:t>
      </w:r>
      <w:bookmarkEnd w:id="22"/>
    </w:p>
    <w:tbl>
      <w:tblPr>
        <w:tblW w:w="9500" w:type="dxa"/>
        <w:tblLayout w:type="fixed"/>
        <w:tblBorders>
          <w:top w:val="single" w:sz="4" w:color="CBD6DF"/>
          <w:left w:val="single" w:sz="4" w:color="CBD6DF"/>
          <w:bottom w:val="single" w:sz="4" w:color="CBD6DF"/>
          <w:right w:val="single" w:sz="4" w:color="CBD6DF"/>
          <w:insideH w:val="single" w:sz="4" w:color="CBD6DF"/>
          <w:insideV w:val="single" w:sz="4" w:color="CBD6DF"/>
        </w:tblBorders>
        <w:tblCellMar>
          <w:top w:w="70" w:type="dxa"/>
          <w:bottom w:w="70" w:type="dxa"/>
          <w:left w:w="85" w:type="dxa"/>
          <w:right w:w="85" w:type="dxa"/>
        </w:tblCellMar>
      </w:tblPr>
      <w:tblGrid>
        <w:gridCol w:w="2185"/>
        <w:gridCol w:w="7315"/>
      </w:tblGrid>
      <w:tr>
        <w:trPr>
          <w:cantSplit/>
          <w:tblHeader/>
        </w:trPr>
        <w:tc>
          <w:tcPr>
            <w:tcW w:w="2185" w:type="dxa"/>
            <w:vAlign w:val="top"/>
            <w:shd w:fill="E7F0F5"/>
          </w:tcPr>
          <w:p>
            <w:pPr>
              <w:pStyle w:val="TableHeader"/>
            </w:pPr>
            <w:r>
              <w:rPr/>
              <w:t xml:space="preserve">Лист</w:t>
            </w:r>
          </w:p>
        </w:tc>
        <w:tc>
          <w:tcPr>
            <w:tcW w:w="7315" w:type="dxa"/>
            <w:vAlign w:val="top"/>
            <w:shd w:fill="E7F0F5"/>
          </w:tcPr>
          <w:p>
            <w:pPr>
              <w:pStyle w:val="TableHeader"/>
            </w:pPr>
            <w:r>
              <w:rPr/>
              <w:t xml:space="preserve">Ключевые колонки</w:t>
            </w:r>
          </w:p>
        </w:tc>
      </w:tr>
      <w:tr>
        <w:trPr>
          <w:cantSplit/>
        </w:trPr>
        <w:tc>
          <w:tcPr>
            <w:tcW w:w="2185" w:type="dxa"/>
            <w:vAlign w:val="top"/>
          </w:tcPr>
          <w:p>
            <w:pPr>
              <w:pStyle w:val="TableText"/>
            </w:pPr>
            <w:r>
              <w:rPr/>
              <w:t xml:space="preserve">Объекты</w:t>
            </w:r>
          </w:p>
        </w:tc>
        <w:tc>
          <w:tcPr>
            <w:tcW w:w="7315" w:type="dxa"/>
            <w:vAlign w:val="top"/>
          </w:tcPr>
          <w:p>
            <w:pPr>
              <w:pStyle w:val="TableText"/>
            </w:pPr>
            <w:r>
              <w:rPr/>
              <w:t xml:space="preserve">external_id, шифр, наименование, ГИП</w:t>
            </w:r>
          </w:p>
        </w:tc>
      </w:tr>
      <w:tr>
        <w:trPr>
          <w:cantSplit/>
        </w:trPr>
        <w:tc>
          <w:tcPr>
            <w:tcW w:w="2185" w:type="dxa"/>
            <w:vAlign w:val="top"/>
            <w:shd w:fill="F7FAFC"/>
          </w:tcPr>
          <w:p>
            <w:pPr>
              <w:pStyle w:val="TableText"/>
            </w:pPr>
            <w:r>
              <w:rPr/>
              <w:t xml:space="preserve">Этапы</w:t>
            </w:r>
          </w:p>
        </w:tc>
        <w:tc>
          <w:tcPr>
            <w:tcW w:w="7315" w:type="dxa"/>
            <w:vAlign w:val="top"/>
            <w:shd w:fill="F7FAFC"/>
          </w:tcPr>
          <w:p>
            <w:pPr>
              <w:pStyle w:val="TableText"/>
            </w:pPr>
            <w:r>
              <w:rPr/>
              <w:t xml:space="preserve">external_id, object_external_id, код стадии, номер этапа, наименование, начало, окончание</w:t>
            </w:r>
          </w:p>
        </w:tc>
      </w:tr>
      <w:tr>
        <w:trPr>
          <w:cantSplit/>
        </w:trPr>
        <w:tc>
          <w:tcPr>
            <w:tcW w:w="2185" w:type="dxa"/>
            <w:vAlign w:val="top"/>
          </w:tcPr>
          <w:p>
            <w:pPr>
              <w:pStyle w:val="TableText"/>
            </w:pPr>
            <w:r>
              <w:rPr/>
              <w:t xml:space="preserve">Графики</w:t>
            </w:r>
          </w:p>
        </w:tc>
        <w:tc>
          <w:tcPr>
            <w:tcW w:w="7315" w:type="dxa"/>
            <w:vAlign w:val="top"/>
          </w:tcPr>
          <w:p>
            <w:pPr>
              <w:pStyle w:val="TableText"/>
            </w:pPr>
            <w:r>
              <w:rPr/>
              <w:t xml:space="preserve">external_id, phase_external_id (этап календарного плана), номер графика, вид работ, ГИП, начало, окончание, общая сумма, валюта, календарь</w:t>
            </w:r>
          </w:p>
        </w:tc>
      </w:tr>
      <w:tr>
        <w:trPr>
          <w:cantSplit/>
        </w:trPr>
        <w:tc>
          <w:tcPr>
            <w:tcW w:w="2185" w:type="dxa"/>
            <w:vAlign w:val="top"/>
            <w:shd w:fill="F7FAFC"/>
          </w:tcPr>
          <w:p>
            <w:pPr>
              <w:pStyle w:val="TableText"/>
            </w:pPr>
            <w:r>
              <w:rPr/>
              <w:t xml:space="preserve">Экземпляры моделей</w:t>
            </w:r>
          </w:p>
        </w:tc>
        <w:tc>
          <w:tcPr>
            <w:tcW w:w="7315" w:type="dxa"/>
            <w:vAlign w:val="top"/>
            <w:shd w:fill="F7FAFC"/>
          </w:tcPr>
          <w:p>
            <w:pPr>
              <w:pStyle w:val="TableText"/>
            </w:pPr>
            <w:r>
              <w:rPr/>
              <w:t xml:space="preserve">external_id, schedule_external_id, шифр модели, версия модели, неприменимые узлы и причины</w:t>
            </w:r>
          </w:p>
        </w:tc>
      </w:tr>
      <w:tr>
        <w:trPr>
          <w:cantSplit/>
        </w:trPr>
        <w:tc>
          <w:tcPr>
            <w:tcW w:w="2185" w:type="dxa"/>
            <w:vAlign w:val="top"/>
          </w:tcPr>
          <w:p>
            <w:pPr>
              <w:pStyle w:val="TableText"/>
            </w:pPr>
            <w:r>
              <w:rPr/>
              <w:t xml:space="preserve">Участия</w:t>
            </w:r>
          </w:p>
        </w:tc>
        <w:tc>
          <w:tcPr>
            <w:tcW w:w="7315" w:type="dxa"/>
            <w:vAlign w:val="top"/>
          </w:tcPr>
          <w:p>
            <w:pPr>
              <w:pStyle w:val="TableText"/>
            </w:pPr>
            <w:r>
              <w:rPr/>
              <w:t xml:space="preserve">external_id, schedule_external_id, шифр специальности, код отдела, начальник, авторы, сумма</w:t>
            </w:r>
          </w:p>
        </w:tc>
      </w:tr>
      <w:tr>
        <w:trPr>
          <w:cantSplit/>
        </w:trPr>
        <w:tc>
          <w:tcPr>
            <w:tcW w:w="2185" w:type="dxa"/>
            <w:vAlign w:val="top"/>
            <w:shd w:fill="F7FAFC"/>
          </w:tcPr>
          <w:p>
            <w:pPr>
              <w:pStyle w:val="TableText"/>
            </w:pPr>
            <w:r>
              <w:rPr/>
              <w:t xml:space="preserve">Интервалы</w:t>
            </w:r>
          </w:p>
        </w:tc>
        <w:tc>
          <w:tcPr>
            <w:tcW w:w="7315" w:type="dxa"/>
            <w:vAlign w:val="top"/>
            <w:shd w:fill="F7FAFC"/>
          </w:tcPr>
          <w:p>
            <w:pPr>
              <w:pStyle w:val="TableText"/>
            </w:pPr>
            <w:r>
              <w:rPr/>
              <w:t xml:space="preserve">external_id, participation_external_id, экземпляр модели, исходный узел, наименование, начало, окончание</w:t>
            </w:r>
          </w:p>
        </w:tc>
      </w:tr>
      <w:tr>
        <w:trPr>
          <w:cantSplit/>
        </w:trPr>
        <w:tc>
          <w:tcPr>
            <w:tcW w:w="2185" w:type="dxa"/>
            <w:vAlign w:val="top"/>
          </w:tcPr>
          <w:p>
            <w:pPr>
              <w:pStyle w:val="TableText"/>
            </w:pPr>
            <w:r>
              <w:rPr/>
              <w:t xml:space="preserve">События</w:t>
            </w:r>
          </w:p>
        </w:tc>
        <w:tc>
          <w:tcPr>
            <w:tcW w:w="7315" w:type="dxa"/>
            <w:vAlign w:val="top"/>
          </w:tcPr>
          <w:p>
            <w:pPr>
              <w:pStyle w:val="TableText"/>
            </w:pPr>
            <w:r>
              <w:rPr/>
              <w:t xml:space="preserve">external_id, schedule_external_id, экземпляр модели, номер события, название, дата, позиция в дне</w:t>
            </w:r>
          </w:p>
        </w:tc>
      </w:tr>
      <w:tr>
        <w:trPr>
          <w:cantSplit/>
        </w:trPr>
        <w:tc>
          <w:tcPr>
            <w:tcW w:w="2185" w:type="dxa"/>
            <w:vAlign w:val="top"/>
            <w:shd w:fill="F7FAFC"/>
          </w:tcPr>
          <w:p>
            <w:pPr>
              <w:pStyle w:val="TableText"/>
            </w:pPr>
            <w:r>
              <w:rPr/>
              <w:t xml:space="preserve">Передачи</w:t>
            </w:r>
          </w:p>
        </w:tc>
        <w:tc>
          <w:tcPr>
            <w:tcW w:w="7315" w:type="dxa"/>
            <w:vAlign w:val="top"/>
            <w:shd w:fill="F7FAFC"/>
          </w:tcPr>
          <w:p>
            <w:pPr>
              <w:pStyle w:val="TableText"/>
            </w:pPr>
            <w:r>
              <w:rPr/>
              <w:t xml:space="preserve">external_id, event_external_id, отправители, получатели/внешний адресат, содержание, плановая дата, обязательность</w:t>
            </w:r>
          </w:p>
        </w:tc>
      </w:tr>
      <w:tr>
        <w:trPr>
          <w:cantSplit/>
        </w:trPr>
        <w:tc>
          <w:tcPr>
            <w:tcW w:w="2185" w:type="dxa"/>
            <w:vAlign w:val="top"/>
          </w:tcPr>
          <w:p>
            <w:pPr>
              <w:pStyle w:val="TableText"/>
            </w:pPr>
            <w:r>
              <w:rPr/>
              <w:t xml:space="preserve">Связи</w:t>
            </w:r>
          </w:p>
        </w:tc>
        <w:tc>
          <w:tcPr>
            <w:tcW w:w="7315" w:type="dxa"/>
            <w:vAlign w:val="top"/>
          </w:tcPr>
          <w:p>
            <w:pPr>
              <w:pStyle w:val="TableText"/>
            </w:pPr>
            <w:r>
              <w:rPr/>
              <w:t xml:space="preserve">external_id, predecessor_external_id, successor_external_id, тип связи, лаг</w:t>
            </w:r>
          </w:p>
        </w:tc>
      </w:tr>
      <w:tr>
        <w:trPr>
          <w:cantSplit/>
        </w:trPr>
        <w:tc>
          <w:tcPr>
            <w:tcW w:w="2185" w:type="dxa"/>
            <w:vAlign w:val="top"/>
            <w:shd w:fill="F7FAFC"/>
          </w:tcPr>
          <w:p>
            <w:pPr>
              <w:pStyle w:val="TableText"/>
            </w:pPr>
            <w:r>
              <w:rPr/>
              <w:t xml:space="preserve">Факт</w:t>
            </w:r>
          </w:p>
        </w:tc>
        <w:tc>
          <w:tcPr>
            <w:tcW w:w="7315" w:type="dxa"/>
            <w:vAlign w:val="top"/>
            <w:shd w:fill="F7FAFC"/>
          </w:tcPr>
          <w:p>
            <w:pPr>
              <w:pStyle w:val="TableText"/>
            </w:pPr>
            <w:r>
              <w:rPr/>
              <w:t xml:space="preserve">external_id, entity_external_id, тип сущности, дата состояния, фактическое начало/окончание, факт передачи, процент, причина, комментарий</w:t>
            </w:r>
          </w:p>
        </w:tc>
      </w:tr>
    </w:tbl>
    <w:p>
      <w:pPr>
        <w:pStyle w:val="TableAfter"/>
      </w:pPr>
    </w:p>
    <w:p>
      <w:pPr>
        <w:pStyle w:val="Normal"/>
      </w:pPr>
      <w:r>
        <w:rPr/>
        <w:t xml:space="preserve">В окончательном шаблоне списки авторов и участников передачи кодируются через ID с документированным разделителем; ФИО не используется для неявного поиска совпадений. Для больших и неоднозначных списков применяется отдельный лист связей «Участники передач». Версия шаблона и единица суммы указываются на листе «Описание».</w:t>
      </w:r>
    </w:p>
    <w:p>
      <w:pPr>
        <w:pStyle w:val="Heading1"/>
      </w:pPr>
      <w:bookmarkStart w:id="23" w:name="section_23"/>
      <w:r>
        <w:rPr/>
        <w:t xml:space="preserve">Приложение Д. Источники и границы достоверности</w:t>
      </w:r>
      <w:bookmarkEnd w:id="23"/>
    </w:p>
    <w:p>
      <w:pPr>
        <w:pStyle w:val="ListParagraph"/>
      </w:pPr>
      <w:r>
        <w:rPr/>
        <w:t xml:space="preserve">1. </w:t>
      </w:r>
      <w:r>
        <w:rPr/>
        <w:t xml:space="preserve">Исходное описание заказчика и ответы на 12 вопросов — подтверждённые требования U-01–14.</w:t>
      </w:r>
    </w:p>
    <w:p>
      <w:pPr>
        <w:pStyle w:val="ListParagraph"/>
      </w:pPr>
      <w:r>
        <w:rPr/>
        <w:t xml:space="preserve">2. </w:t>
      </w:r>
      <w:r>
        <w:rPr/>
        <w:t xml:space="preserve">«Ты_менеджер_по_планированию_проектно.docx» — справочники, таблица модели 23-2, изображение образца графика. Форматирование источника не превращается в неподтверждённые правила расчёта.</w:t>
      </w:r>
    </w:p>
    <w:p>
      <w:pPr>
        <w:pStyle w:val="ListParagraph"/>
      </w:pPr>
      <w:r>
        <w:rPr/>
        <w:t xml:space="preserve">3. </w:t>
      </w:r>
      <w:r>
        <w:rPr/>
        <w:t xml:space="preserve">Поручение «Сам реши» — основание для проектных решений D-01–16 и предлагаемых правил первой версии.</w:t>
      </w:r>
    </w:p>
    <w:p>
      <w:pPr>
        <w:pStyle w:val="ListParagraph"/>
      </w:pPr>
      <w:r>
        <w:rPr/>
        <w:t xml:space="preserve">4. </w:t>
      </w:r>
      <w:hyperlink r:id="rId12">
        <w:r>
          <w:rPr>
            <w:color w:val="126495"/>
            <w:u w:val="single"/>
          </w:rPr>
          <w:t xml:space="preserve">Официальный указ о дополнительных нерабочих днях и переносах в 2026 году</w:t>
        </w:r>
      </w:hyperlink>
      <w:r>
        <w:rPr/>
        <w:t xml:space="preserve"> — основание предусмотреть ежегодные календарные исключения.</w:t>
      </w:r>
    </w:p>
    <w:p>
      <w:pPr>
        <w:pStyle w:val="ListParagraph"/>
      </w:pPr>
      <w:r>
        <w:rPr/>
        <w:t xml:space="preserve">5. </w:t>
      </w:r>
      <w:hyperlink r:id="rId13">
        <w:r>
          <w:rPr>
            <w:color w:val="126495"/>
            <w:u w:val="single"/>
          </w:rPr>
          <w:t xml:space="preserve">Официальное решение о праздновании Курбан хайита в 2026 году</w:t>
        </w:r>
      </w:hyperlink>
      <w:r>
        <w:rPr/>
        <w:t xml:space="preserve"> — пример отдельного источника дат праздника.</w:t>
      </w:r>
    </w:p>
    <w:p>
      <w:pPr>
        <w:pStyle w:val="Normal"/>
      </w:pPr>
      <w:r>
        <w:rPr/>
        <w:t xml:space="preserve">В PRD не заявлено, что календарь 2026 года полностью загружен, все 17 моделей восстановлены, исходные Excel импортированы или приложение разработано. Документ определяет проверяемые требования и правила для выполнения этих работ.</w:t>
      </w:r>
    </w:p>
    <w:sectPr>
      <w:headerReference w:type="default" r:id="rId2"/>
      <w:footerReference w:type="default" r:id="rId3"/>
      <w:pgSz w:w="11906" w:h="16838"/>
      <w:pgMar w:top="1050" w:right="1203" w:bottom="1050" w:left="1203" w:header="500" w:footer="500" w:gutter="0"/>
    </w:sectPr>
  </w:body>
</w:document>
</file>

<file path=word/footer1.xml><?xml version="1.0" encoding="utf-8"?>
<w:ftr xmlns:w="http://schemas.openxmlformats.org/wordprocessingml/2006/main">
  <w:p>
    <w:pPr>
      <w:pStyle w:val="Footer"/>
    </w:pPr>
    <w:r>
      <w:rPr/>
      <w:t xml:space="preserve">09.10.2026  |  Страница </w:t>
    </w:r>
    <w:fldSimple w:instr="PAGE"/>
    <w:r>
      <w:rPr/>
      <w:t xml:space="preserve"> из </w:t>
    </w:r>
    <w:fldSimple w:instr="NUMPAGES"/>
  </w:p>
</w:ftr>
</file>

<file path=word/header1.xml><?xml version="1.0" encoding="utf-8"?>
<w:hdr xmlns:w="http://schemas.openxmlformats.org/wordprocessingml/2006/main">
  <w:p>
    <w:pPr>
      <w:pStyle w:val="Header"/>
    </w:pPr>
    <w:r>
      <w:rPr/>
      <w:t xml:space="preserve">ПИР КОНТРОЛЬ  •  Требования к продукту  •  v1.0</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cs="Arial"/>
        <w:sz w:val="21"/>
        <w:lang w:val="ru-RU"/>
      </w:rPr>
    </w:rPrDefault>
    <w:pPrDefault>
      <w:pPr>
        <w:spacing w:after="110" w:line="270" w:lineRule="auto"/>
      </w:pPr>
    </w:pPrDefault>
  </w:docDefaults>
  <w:style w:type="paragraph" w:styleId="Normal">
    <w:name w:val="Normal"/>
    <w:pPr>
      <w:spacing w:before="0" w:after="100"/>
      <w:widowControl/>
    </w:pPr>
    <w:rPr/>
  </w:style>
  <w:style w:type="paragraph" w:styleId="Title">
    <w:name w:val="Title"/>
    <w:basedOn w:val="Normal"/>
    <w:pPr>
      <w:spacing w:before="0" w:after="300"/>
      <w:widowControl/>
      <w:keepNext/>
    </w:pPr>
    <w:rPr>
      <w:sz w:val="46"/>
      <w:b/>
      <w:color w:val="123A59"/>
    </w:rPr>
  </w:style>
  <w:style w:type="paragraph" w:styleId="Heading1">
    <w:name w:val="heading 1"/>
    <w:basedOn w:val="Normal"/>
    <w:pPr>
      <w:spacing w:before="0" w:after="200"/>
      <w:widowControl/>
      <w:keepNext/>
      <w:pageBreakBefore/>
      <w:outlineLvl w:val="0"/>
    </w:pPr>
    <w:rPr>
      <w:sz w:val="32"/>
      <w:b/>
      <w:color w:val="123A59"/>
    </w:rPr>
  </w:style>
  <w:style w:type="paragraph" w:styleId="Heading2">
    <w:name w:val="heading 2"/>
    <w:basedOn w:val="Normal"/>
    <w:pPr>
      <w:spacing w:before="200" w:after="120"/>
      <w:widowControl/>
      <w:keepNext/>
      <w:outlineLvl w:val="1"/>
    </w:pPr>
    <w:rPr>
      <w:sz w:val="25"/>
      <w:b/>
      <w:color w:val="285470"/>
    </w:rPr>
  </w:style>
  <w:style w:type="paragraph" w:styleId="Heading3">
    <w:name w:val="heading 3"/>
    <w:basedOn w:val="Normal"/>
    <w:pPr>
      <w:spacing w:before="150" w:after="100"/>
      <w:widowControl/>
      <w:keepNext/>
      <w:outlineLvl w:val="2"/>
    </w:pPr>
    <w:rPr>
      <w:sz w:val="22"/>
      <w:b/>
      <w:color w:val="285470"/>
    </w:rPr>
  </w:style>
  <w:style w:type="paragraph" w:styleId="ListParagraph">
    <w:name w:val="List Paragraph"/>
    <w:basedOn w:val="Normal"/>
    <w:pPr>
      <w:spacing w:before="0" w:after="90"/>
      <w:widowControl/>
      <w:ind w:left="250" w:hanging="250"/>
    </w:pPr>
    <w:rPr/>
  </w:style>
  <w:style w:type="paragraph" w:styleId="TableText">
    <w:name w:val="Table Text"/>
    <w:basedOn w:val="Normal"/>
    <w:pPr>
      <w:spacing w:before="0" w:after="40"/>
      <w:widowControl/>
    </w:pPr>
    <w:rPr>
      <w:sz w:val="18"/>
    </w:rPr>
  </w:style>
  <w:style w:type="paragraph" w:styleId="TableHeader">
    <w:name w:val="Table Header"/>
    <w:basedOn w:val="Normal"/>
    <w:pPr>
      <w:spacing w:before="0" w:after="40"/>
      <w:widowControl/>
    </w:pPr>
    <w:rPr>
      <w:sz w:val="18"/>
      <w:b/>
      <w:color w:val="123A59"/>
    </w:rPr>
  </w:style>
  <w:style w:type="paragraph" w:styleId="TableAfter">
    <w:name w:val="Table After"/>
    <w:basedOn w:val="Normal"/>
    <w:pPr>
      <w:spacing w:before="0" w:after="60"/>
      <w:widowControl/>
    </w:pPr>
    <w:rPr>
      <w:sz w:val="4"/>
    </w:rPr>
  </w:style>
  <w:style w:type="paragraph" w:styleId="TOCEntry">
    <w:name w:val="TOC Entry"/>
    <w:basedOn w:val="Normal"/>
    <w:pPr>
      <w:spacing w:before="0" w:after="90"/>
      <w:widowControl/>
    </w:pPr>
    <w:rPr>
      <w:sz w:val="21"/>
    </w:rPr>
  </w:style>
  <w:style w:type="paragraph" w:styleId="Header">
    <w:name w:val="Header"/>
    <w:basedOn w:val="Normal"/>
    <w:pPr>
      <w:spacing w:before="0" w:after="0"/>
      <w:widowControl/>
    </w:pPr>
    <w:rPr>
      <w:sz w:val="16"/>
      <w:color w:val="577084"/>
    </w:rPr>
  </w:style>
  <w:style w:type="paragraph" w:styleId="Footer">
    <w:name w:val="Footer"/>
    <w:basedOn w:val="Normal"/>
    <w:pPr>
      <w:spacing w:before="0" w:after="0"/>
      <w:widowControl/>
    </w:pPr>
    <w:rPr>
      <w:sz w:val="16"/>
      <w:color w:val="577084"/>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settings" Target="settings.xml" /><Relationship Id="rId10" Type="http://schemas.openxmlformats.org/officeDocument/2006/relationships/hyperlink" Target="https://president.uz/ru/lists/view/8832" TargetMode="External" /><Relationship Id="rId11" Type="http://schemas.openxmlformats.org/officeDocument/2006/relationships/hyperlink" Target="https://www.president.uz/ru/lists/view/9233" TargetMode="External" /><Relationship Id="rId12" Type="http://schemas.openxmlformats.org/officeDocument/2006/relationships/hyperlink" Target="https://president.uz/ru/lists/view/8832" TargetMode="External" /><Relationship Id="rId13" Type="http://schemas.openxmlformats.org/officeDocument/2006/relationships/hyperlink" Target="https://www.president.uz/ru/lists/view/9233" TargetMode="External" /></Relationships>
</file>

<file path=docProps/core.xml><?xml version="1.0" encoding="utf-8"?>
<ns0:coreProperties xmlns:dc="http://purl.org/dc/elements/1.1/" xmlns:ns0="http://schemas.openxmlformats.org/package/2006/metadata/core-properties">
  <dc:title>PRD: ПИР Контроль</dc:title>
  <dc:creator>Project Management</dc:creator>
  <dc:description>Версия 1.0. Требования к веб-приложению планирования и контроля ПИР.</dc:description>
</ns0:coreProperties>
</file>