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section"/>
      </w:pPr>
      <w:bookmarkStart w:id="0" w:name="section"/>
      <w:r>
        <w:t>БИЗНЕС-ПЛАН: СТРОИТЕЛЬСТВО</w:t>
      </w:r>
      <w:bookmarkEnd w:id="0"/>
    </w:p>
    <w:p>
      <w:r>
        <w:rPr>
          <w:rStyle w:val="CkMuted"/>
        </w:rPr>
        <w:t>Пример: строительно-ремонтная компания</w:t>
      </w:r>
    </w:p>
    <w:p>
      <w:r>
        <w:t>Название проекта: [впишите]</w:t>
      </w:r>
      <w:r>
        <w:br/>
      </w:r>
      <w:r>
        <w:t>Автор / компания: [впишите]</w:t>
      </w:r>
      <w:r>
        <w:br/>
      </w:r>
      <w:r>
        <w:t>Регион реализации: [впишите]</w:t>
      </w:r>
      <w:r>
        <w:br/>
      </w:r>
      <w:r>
        <w:t>Требуемая сумма инвестиций, сум: [впишите]</w:t>
      </w:r>
      <w:r>
        <w:br/>
      </w:r>
      <w:r>
        <w:t>Дата: [впишите]</w:t>
      </w:r>
    </w:p>
    <w:p>
      <w:r>
        <w:rPr>
          <w:rStyle w:val="CkCaption"/>
          <w:i/>
        </w:rPr>
        <w:t>Это готовый образец (шаблон) бизнес-плана MoliyaHub для отрасли «Строительство». Замените текст в квадратных скобках [впишите] и примеры на данные вашего проекта, добавьте или удалите пункты по необходимости. Абзацы в рамке, отмеченные «ПРИМЕР», и раздел «Пример финансового расчёта» — иллюстрация формата и порядка величины на основе рыночных ориентиров 2025-2026 года, а не факты и не финансовая отчётность о реальной компании: перед подачей в банк или инвестору замените их на данные своего проекта. Тот же расчёт с рабочими формулами (SUM, прибыль, срок окупаемости, рентабельность), которые пересчитываются автоматически, — в отдельном Excel-файле с тем же названием, который дополняет этот документ.</w:t>
      </w:r>
    </w:p>
    <w:p>
      <w:pPr>
        <w:pStyle w:val="Heading2"/>
        <ck:id v="resume"/>
      </w:pPr>
      <w:bookmarkStart w:id="1" w:name="resume"/>
      <w:r>
        <w:t>Резюме проекта</w:t>
      </w:r>
      <w:bookmarkEnd w:id="1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ООО «UsSaz Qurilish» специализируется на комплексном ремонте квартир и коммерческих помещений в Ташкенте «под ключ» — от дизайн-проекта до сдачи объекта. Требуемые инвестиции — 400 млн сум на инструмент, спецтехнику и оборотный капитал на первые 3 объекта; окупаемость — около 14 месяцев при загрузке 2-3 объекта одновременно.</w:t>
                </w:r>
              </w:p>
            </w:tc>
          </w:tr>
        </w:tbl>
      </w:sdtContent>
    </w:sdt>
    <w:p>
      <w:r>
        <w:t>[Впишите] В 5-8 предложениях: суть проекта, какую проблему решает, для кого, требуемая сумма инвестиций и на что она пойдёт, ожидаемый результат (выручка/прибыль/срок окупаемости).</w:t>
      </w:r>
    </w:p>
    <w:p>
      <w:pPr>
        <w:pStyle w:val="Heading2"/>
        <ck:id v="company"/>
      </w:pPr>
      <w:bookmarkStart w:id="2" w:name="company"/>
      <w:r>
        <w:t>Описание компании / проекта</w:t>
      </w:r>
      <w:bookmarkEnd w:id="2"/>
    </w:p>
    <w:p>
      <w:r>
        <w:t>[Впишите] Организационно-правовая форма (ИП/ООО/фермерское хозяйство), команда, текущий статус проекта (идея / MVP / действующий бизнес), уникальное торговое предложение.</w:t>
      </w:r>
    </w:p>
    <w:p>
      <w:pPr>
        <w:pStyle w:val="Heading2"/>
        <ck:id v="market"/>
      </w:pPr>
      <w:bookmarkStart w:id="3" w:name="market"/>
      <w:r>
        <w:t>Анализ рынка: Строительство</w:t>
      </w:r>
      <w:bookmarkEnd w:id="3"/>
    </w:p>
    <w:p>
      <w:pPr>
        <w:pStyle w:val="ListParagraph"/>
        <w:numPr>
          <w:ilvl w:val="0"/>
          <w:numId w:val="1"/>
        </w:numPr>
      </w:pPr>
      <w:r>
        <w:t>Строительство — один из ключевых драйверов роста экономики Узбекистана на фоне активных жилищных и инфраструктурных программ.</w:t>
      </w:r>
    </w:p>
    <w:p>
      <w:pPr>
        <w:pStyle w:val="ListParagraph"/>
        <w:numPr>
          <w:ilvl w:val="0"/>
          <w:numId w:val="1"/>
        </w:numPr>
      </w:pPr>
      <w:r>
        <w:t>Указом от 20 ноября 2025 года утверждена национальная программа развития жилищного строительства и ипотеки до 2040 года: ежегодный ввод жилья планируется удвоить до 421 тыс. объектов, ипотечный портфель — вырастить более чем в 10 раз (до $56,7 млрд), а долю современного жилья в жилом фонде — довести до 50% (gazeta.uz). Это создаёт долгосрочный спрос на строительные и ремонтные услуги, но конкретные региональные квоты и условия стоит уточнять по мере запуска программы.</w:t>
      </w:r>
    </w:p>
    <w:p>
      <w:pPr>
        <w:pStyle w:val="ListParagraph"/>
        <w:numPr>
          <w:ilvl w:val="0"/>
          <w:numId w:val="1"/>
        </w:numPr>
      </w:pPr>
      <w:r>
        <w:t>Параллельно продолжаются программы реновации городской среды и инфраструктурные проекты (дороги, объекты соцкультбыта) — поддерживают спрос на подрядные и субподрядные работы для среднего и малого бизнеса.</w:t>
      </w:r>
    </w:p>
    <w:p>
      <w:pPr>
        <w:pStyle w:val="ListParagraph"/>
        <w:numPr>
          <w:ilvl w:val="0"/>
          <w:numId w:val="1"/>
        </w:numPr>
      </w:pPr>
      <w:r>
        <w:t>Растёт спрос на энергоэффективные и сейсмостойкие решения — новая жилищная программа прямо предусматривает экологичные материалы и энергоэффективные технологии; соответствие актуальным строительным нормам (KMK) и этим требованиям важно для конкурентоспособности при госзаказах и в ипотечных проектах.</w:t>
      </w:r>
    </w:p>
    <w:p>
      <w:pPr>
        <w:pStyle w:val="ListParagraph"/>
        <w:numPr>
          <w:ilvl w:val="0"/>
          <w:numId w:val="1"/>
        </w:numPr>
      </w:pPr>
      <w:r>
        <w:t>Для сравнения: в Казахстане и России также действуют масштабные программы льготной ипотеки — конкуренция за импортное оборудование, отделочные материалы и подрядчиков с международным опытом в регионе в целом растёт, что может повышать закупочные цены на отдельные материалы и технику.</w:t>
      </w:r>
    </w:p>
    <w:p>
      <w:pPr>
        <w:pStyle w:val="ListParagraph"/>
        <w:numPr>
          <w:ilvl w:val="0"/>
          <w:numId w:val="1"/>
        </w:numPr>
      </w:pPr>
      <w:r>
        <w:t>[Впишите] Объём рынка и конкурентов в вашем сегменте (жилое/коммерческое/промышленное/инфраструктурное строительство) и регионе — уточняйте по данным местного хокимията и тендерным площадкам.</w:t>
      </w:r>
    </w:p>
    <w:p>
      <w:pPr>
        <w:pStyle w:val="Heading3"/>
        <ck:id v="section-1"/>
      </w:pPr>
      <w:bookmarkStart w:id="4" w:name="section_1"/>
      <w:r>
        <w:t>Конкуренты</w:t>
      </w:r>
      <w:bookmarkEnd w:id="4"/>
    </w:p>
    <w:p>
      <w:r>
        <w:t>[Впишите] Список из 3-5 прямых конкурентов, их сильные и слабые стороны, чем вы отличаетесь.</w:t>
      </w:r>
    </w:p>
    <w:p>
      <w:pPr>
        <w:pStyle w:val="Heading3"/>
        <ck:id v="section-2"/>
      </w:pPr>
      <w:bookmarkStart w:id="5" w:name="section_2"/>
      <w:r>
        <w:t>Целевая аудитория</w:t>
      </w:r>
      <w:bookmarkEnd w:id="5"/>
    </w:p>
    <w:p>
      <w:r>
        <w:t>[Впишите] Портрет основного клиента: кто он, что для него важно при выборе, где его найти.</w:t>
      </w:r>
    </w:p>
    <w:p>
      <w:pPr>
        <w:pStyle w:val="Heading2"/>
        <ck:id v="marketing"/>
      </w:pPr>
      <w:bookmarkStart w:id="6" w:name="marketing"/>
      <w:r>
        <w:t>Маркетинговый план</w:t>
      </w:r>
      <w:bookmarkEnd w:id="6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Цена — по смете с фиксацией на этапе договора, чтобы избежать споров при росте цен на материалы; продвижение — портфолио отремонтированных объектов в соцсетях и на агрегаторах ремонта, сарафанное радио через застройщиков и риелторов, первые 2-3 объекта — по льготной цене за отзывы и портфолио.</w:t>
                </w:r>
              </w:p>
            </w:tc>
          </w:tr>
        </w:tbl>
      </w:sdtContent>
    </w:sdt>
    <w:p>
      <w:r>
        <w:t>[Впишите] Ценообразование, каналы продвижения и продаж, план привлечения первых клиентов.</w:t>
      </w:r>
    </w:p>
    <w:p>
      <w:pPr>
        <w:pStyle w:val="Heading2"/>
        <ck:id v="operations"/>
      </w:pPr>
      <w:bookmarkStart w:id="7" w:name="operations"/>
      <w:r>
        <w:t>Операционный план</w:t>
      </w:r>
      <w:bookmarkEnd w:id="7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Цикл: замер и смета → согласование дизайн-проекта → закупка материалов → черновые и чистовые работы бригадой → сдача объекта заказчику. Ключевые поставщики материалов — 2-3 оптовые базы стройматериалов с отсрочкой платежа. Требуется лицензирование строительной деятельности.</w:t>
                </w:r>
              </w:p>
            </w:tc>
          </w:tr>
        </w:tbl>
      </w:sdtContent>
    </w:sdt>
    <w:p>
      <w:r>
        <w:t>[Впишите] Процесс производства/оказания услуги, ключевые поставщики, оборудование, необходимые лицензии и разрешения.</w:t>
      </w:r>
    </w:p>
    <w:p>
      <w:pPr>
        <w:pStyle w:val="Heading2"/>
        <ck:id v="org"/>
      </w:pPr>
      <w:bookmarkStart w:id="8" w:name="org"/>
      <w:r>
        <w:t>Организационный план</w:t>
      </w:r>
      <w:bookmarkEnd w:id="8"/>
    </w:p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rStyle w:val="CkKicker"/>
                  </w:rPr>
                  <w:t>ПРИМЕР</w:t>
                </w:r>
              </w:p>
              <w:p>
                <w:r>
                  <w:t>Директор-прораб, 2 бригады по 4-5 человек (штукатуры-маляры, электрики, сантехники), сметчик на аутсорсе, менеджер по работе с клиентами. Форма — ООО с упрощённым налоговым режимом на старте.</w:t>
                </w:r>
              </w:p>
            </w:tc>
          </w:tr>
        </w:tbl>
      </w:sdtContent>
    </w:sdt>
    <w:p>
      <w:r>
        <w:t>[Впишите] Команда и роли, штатное расписание, организационно-правовая форма.</w:t>
      </w:r>
    </w:p>
    <w:p>
      <w:pPr>
        <w:pStyle w:val="Heading2"/>
        <ck:id v="financial-example"/>
      </w:pPr>
      <w:bookmarkStart w:id="9" w:name="financial_example"/>
      <w:r>
        <w:t>Пример финансового расчёта</w:t>
      </w:r>
      <w:bookmarkEnd w:id="9"/>
    </w:p>
    <w:p>
      <w:r>
        <w:rPr>
          <w:rStyle w:val="CkCaption"/>
          <w:i/>
        </w:rPr>
        <w:t>Ниже — полностью посчитанный пример для иллюстративной компании из резюме, на основе рыночных ориентиров 2025-2026 года (аренда, зарплаты, цены на оборудование, налоги, ставки — со ссылкой на источник там, где он известен) и экспертных оценок порядка величины там, где точных данных нет (это отмечено в комментариях). Он показывает логику расчёта и реалистичный масштаб цифр — это не финансовая отчётность и не готовая заявка на кредит. Тот же расчёт с рабочими формулами — в Excel-файле с тем же названием; замените суммы там на данные своего проекта, и всё пересчитается автоматически.</w:t>
      </w:r>
    </w:p>
    <w:p>
      <w:r>
        <w:rPr>
          <w:b/>
        </w:rPr>
        <w:t>Стартовые затраты (единоразово)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Регистрация и лицензирование строительной деятельности</w:t>
            </w:r>
          </w:p>
        </w:tc>
        <w:tc>
          <w:tcPr/>
          <w:p>
            <w:r>
              <w:t>18 000 000</w:t>
            </w:r>
          </w:p>
        </w:tc>
        <w:tc>
          <w:tcPr/>
          <w:p>
            <w:r>
              <w:t>оценка: регистрация ООО, строительная лицензия (квалификация кадров, техническая экспертиза)</w:t>
            </w:r>
          </w:p>
        </w:tc>
      </w:tr>
      <w:tr>
        <w:tc>
          <w:tcPr/>
          <w:p>
            <w:r>
              <w:t>Инструменты и спецтехника</w:t>
            </w:r>
          </w:p>
        </w:tc>
        <w:tc>
          <w:tcPr/>
          <w:p>
            <w:r>
              <w:t>138 000 000</w:t>
            </w:r>
          </w:p>
        </w:tc>
        <w:tc>
          <w:tcPr/>
          <w:p>
            <w:r>
              <w:t>оценка: комплект инструмента для 2 бригад, леса/вышка-тура, бетономешалка, генератор, компрессор, б/у грузовик</w:t>
            </w:r>
          </w:p>
        </w:tc>
      </w:tr>
      <w:tr>
        <w:tc>
          <w:tcPr/>
          <w:p>
            <w:r>
              <w:t>Первоначальный запас материалов</w:t>
            </w:r>
          </w:p>
        </w:tc>
        <w:tc>
          <w:tcPr/>
          <w:p>
            <w:r>
              <w:t>150 000 000</w:t>
            </w:r>
          </w:p>
        </w:tc>
        <w:tc>
          <w:tcPr/>
          <w:p>
            <w:r>
              <w:t>оценка: складской запас отделочных материалов (~1 мес.) для старта первых 2-3 объектов до авансов заказчиков</w:t>
            </w:r>
          </w:p>
        </w:tc>
      </w:tr>
      <w:tr>
        <w:tc>
          <w:tcPr/>
          <w:p>
            <w:r>
              <w:t>Офис / склад</w:t>
            </w:r>
          </w:p>
        </w:tc>
        <w:tc>
          <w:tcPr/>
          <w:p>
            <w:r>
              <w:t>70 000 000</w:t>
            </w:r>
          </w:p>
        </w:tc>
        <w:tc>
          <w:tcPr/>
          <w:p>
            <w:r>
              <w:t>оценка: депозит + ремонт офисно-складского помещения; офисы класса B/B+ в Ташкенте — ~$26,4/м²/мес (CMWP/spot.uz, окт. 2025)</w:t>
            </w:r>
          </w:p>
        </w:tc>
      </w:tr>
      <w:tr>
        <w:tc>
          <w:tcPr/>
          <w:p>
            <w:r>
              <w:t>Страхование ответственности</w:t>
            </w:r>
          </w:p>
        </w:tc>
        <w:tc>
          <w:tcPr/>
          <w:p>
            <w:r>
              <w:t>15 000 000</w:t>
            </w:r>
          </w:p>
        </w:tc>
        <w:tc>
          <w:tcPr/>
          <w:p>
            <w:r>
              <w:t>оценка первой годовой премии страхования гражданской ответственности подрядчика</w:t>
            </w:r>
          </w:p>
        </w:tc>
      </w:tr>
      <w:tr>
        <w:tc>
          <w:tcPr/>
          <w:p>
            <w:r>
              <w:t>Спецодежда и средства индивидуальной защиты для бригад</w:t>
            </w:r>
          </w:p>
        </w:tc>
        <w:tc>
          <w:tcPr/>
          <w:p>
            <w:r>
              <w:t>9 000 000</w:t>
            </w:r>
          </w:p>
        </w:tc>
        <w:tc>
          <w:tcPr/>
          <w:p>
            <w:r>
              <w:t>оценка: комплекты СИЗ на ~10 человек (2 бригады по 4-5 чел.)</w:t>
            </w:r>
          </w:p>
        </w:tc>
      </w:tr>
      <w:tr>
        <w:tc>
          <w:tcPr/>
          <w:p>
            <w:r>
              <w:rPr>
                <w:b/>
              </w:rPr>
              <w:t>Итого стартовые затраты</w:t>
            </w:r>
          </w:p>
        </w:tc>
        <w:tc>
          <w:tcPr/>
          <w:p>
            <w:r>
              <w:rPr>
                <w:b/>
              </w:rPr>
              <w:t>400 000 000</w:t>
            </w:r>
          </w:p>
        </w:tc>
        <w:tc>
          <w:tcPr/>
          <w:p/>
        </w:tc>
      </w:tr>
    </w:tbl>
    <w:p>
      <w:r>
        <w:rPr>
          <w:b/>
        </w:rPr>
        <w:t>Ежемесячная выручка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Подрядные договоры на объекты</w:t>
            </w:r>
          </w:p>
        </w:tc>
        <w:tc>
          <w:tcPr/>
          <w:p>
            <w:r>
              <w:t>170 000 000</w:t>
            </w:r>
          </w:p>
        </w:tc>
        <w:tc>
          <w:tcPr/>
          <w:p>
            <w:r>
              <w:t>50% от выручки — крупные проекты «под ключ» при загрузке 2-3 объекта одновременно</w:t>
            </w:r>
          </w:p>
        </w:tc>
      </w:tr>
      <w:tr>
        <w:tc>
          <w:tcPr/>
          <w:p>
            <w:r>
              <w:t>Ремонтно-отделочные работы</w:t>
            </w:r>
          </w:p>
        </w:tc>
        <w:tc>
          <w:tcPr/>
          <w:p>
            <w:r>
              <w:t>102 000 000</w:t>
            </w:r>
          </w:p>
        </w:tc>
        <w:tc>
          <w:tcPr/>
          <w:p>
            <w:r>
              <w:t>30% от выручки — более мелкие частные заказы на отделку</w:t>
            </w:r>
          </w:p>
        </w:tc>
      </w:tr>
      <w:tr>
        <w:tc>
          <w:tcPr/>
          <w:p>
            <w:r>
              <w:t>Проектирование и сметы</w:t>
            </w:r>
          </w:p>
        </w:tc>
        <w:tc>
          <w:tcPr/>
          <w:p>
            <w:r>
              <w:t>34 000 000</w:t>
            </w:r>
          </w:p>
        </w:tc>
        <w:tc>
          <w:tcPr/>
          <w:p>
            <w:r>
              <w:t>10% от выручки — сопутствующая услуга проектирования/смет</w:t>
            </w:r>
          </w:p>
        </w:tc>
      </w:tr>
      <w:tr>
        <w:tc>
          <w:tcPr/>
          <w:p>
            <w:r>
              <w:t>Гарантийное и постгарантийное обслуживание объектов</w:t>
            </w:r>
          </w:p>
        </w:tc>
        <w:tc>
          <w:tcPr/>
          <w:p>
            <w:r>
              <w:t>34 000 000</w:t>
            </w:r>
          </w:p>
        </w:tc>
        <w:tc>
          <w:tcPr/>
          <w:p>
            <w:r>
              <w:t>10% от выручки — сервисное обслуживание ранее сданных объектов</w:t>
            </w:r>
          </w:p>
        </w:tc>
      </w:tr>
      <w:tr>
        <w:tc>
          <w:tcPr/>
          <w:p>
            <w:r>
              <w:rPr>
                <w:b/>
              </w:rPr>
              <w:t>Итого выручка/мес</w:t>
            </w:r>
          </w:p>
        </w:tc>
        <w:tc>
          <w:tcPr/>
          <w:p>
            <w:r>
              <w:rPr>
                <w:b/>
              </w:rPr>
              <w:t>340 000 000</w:t>
            </w:r>
          </w:p>
        </w:tc>
        <w:tc>
          <w:tcPr/>
          <w:p/>
        </w:tc>
      </w:tr>
    </w:tbl>
    <w:p>
      <w:r>
        <w:rPr>
          <w:b/>
        </w:rPr>
        <w:t>Ежемесячные операционные расходы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Статья</w:t>
            </w:r>
          </w:p>
        </w:tc>
        <w:tc>
          <w:tcPr/>
          <w:p>
            <w:r>
              <w:rPr>
                <w:b/>
              </w:rPr>
              <w:t>Сумма, сум</w:t>
            </w:r>
          </w:p>
        </w:tc>
        <w:tc>
          <w:tcPr/>
          <w:p>
            <w:r>
              <w:rPr>
                <w:b/>
              </w:rPr>
              <w:t>Комментарий</w:t>
            </w:r>
          </w:p>
        </w:tc>
      </w:tr>
      <w:tr>
        <w:tc>
          <w:tcPr/>
          <w:p>
            <w:r>
              <w:t>ФОТ бригад</w:t>
            </w:r>
          </w:p>
        </w:tc>
        <w:tc>
          <w:tcPr/>
          <w:p>
            <w:r>
              <w:t>84 000 000</w:t>
            </w:r>
          </w:p>
        </w:tc>
        <w:tc>
          <w:tcPr/>
          <w:p>
            <w:r>
              <w:t>2 бригады по 4-5 чел. + директор-прораб, сметчик, снабженец, бухгалтер на аутсорсе — оценка зарплат отделочников в Ташкенте</w:t>
            </w:r>
          </w:p>
        </w:tc>
      </w:tr>
      <w:tr>
        <w:tc>
          <w:tcPr/>
          <w:p>
            <w:r>
              <w:t>Материалы</w:t>
            </w:r>
          </w:p>
        </w:tc>
        <w:tc>
          <w:tcPr/>
          <w:p>
            <w:r>
              <w:t>153 000 000</w:t>
            </w:r>
          </w:p>
        </w:tc>
        <w:tc>
          <w:tcPr/>
          <w:p>
            <w:r>
              <w:t>~45% от выручки — типовая доля материалов в стоимости ремонта «под ключ»</w:t>
            </w:r>
          </w:p>
        </w:tc>
      </w:tr>
      <w:tr>
        <w:tc>
          <w:tcPr/>
          <w:p>
            <w:r>
              <w:t>Аренда техники</w:t>
            </w:r>
          </w:p>
        </w:tc>
        <w:tc>
          <w:tcPr/>
          <w:p>
            <w:r>
              <w:t>8 000 000</w:t>
            </w:r>
          </w:p>
        </w:tc>
        <w:tc>
          <w:tcPr/>
          <w:p>
            <w:r>
              <w:t>оценка аренды спецтехники (подъёмники, генераторы) на объектах</w:t>
            </w:r>
          </w:p>
        </w:tc>
      </w:tr>
      <w:tr>
        <w:tc>
          <w:tcPr/>
          <w:p>
            <w:r>
              <w:t>Субподряд</w:t>
            </w:r>
          </w:p>
        </w:tc>
        <w:tc>
          <w:tcPr/>
          <w:p>
            <w:r>
              <w:t>34 000 000</w:t>
            </w:r>
          </w:p>
        </w:tc>
        <w:tc>
          <w:tcPr/>
          <w:p>
            <w:r>
              <w:t>~10% от выручки — узкоспециализированные субподрядчики (электрика, кондиционирование)</w:t>
            </w:r>
          </w:p>
        </w:tc>
      </w:tr>
      <w:tr>
        <w:tc>
          <w:tcPr/>
          <w:p>
            <w:r>
              <w:t>Транспорт и логистика</w:t>
            </w:r>
          </w:p>
        </w:tc>
        <w:tc>
          <w:tcPr/>
          <w:p>
            <w:r>
              <w:t>6 000 000</w:t>
            </w:r>
          </w:p>
        </w:tc>
        <w:tc>
          <w:tcPr/>
          <w:p>
            <w:r>
              <w:t>оценка доставки материалов и перемещения бригад между объектами</w:t>
            </w:r>
          </w:p>
        </w:tc>
      </w:tr>
      <w:tr>
        <w:tc>
          <w:tcPr/>
          <w:p>
            <w:r>
              <w:t>Страхование объектов и ответственности</w:t>
            </w:r>
          </w:p>
        </w:tc>
        <w:tc>
          <w:tcPr/>
          <w:p>
            <w:r>
              <w:t>3 000 000</w:t>
            </w:r>
          </w:p>
        </w:tc>
        <w:tc>
          <w:tcPr/>
          <w:p>
            <w:r>
              <w:t>оценка ежемесячной части страховой премии</w:t>
            </w:r>
          </w:p>
        </w:tc>
      </w:tr>
      <w:tr>
        <w:tc>
          <w:tcPr/>
          <w:p>
            <w:r>
              <w:t>Налоги</w:t>
            </w:r>
          </w:p>
        </w:tc>
        <w:tc>
          <w:tcPr/>
          <w:p>
            <w:r>
              <w:t>23 700 000</w:t>
            </w:r>
          </w:p>
        </w:tc>
        <w:tc>
          <w:tcPr/>
          <w:p>
            <w:r>
              <w:t>соц. налог 12% от ФОТ (2026 г.) + оценка налога с оборота/на прибыль ~4% от выручки</w:t>
            </w:r>
          </w:p>
        </w:tc>
      </w:tr>
      <w:tr>
        <w:tc>
          <w:tcPr/>
          <w:p>
            <w:r>
              <w:rPr>
                <w:b/>
              </w:rPr>
              <w:t>Итого расходы/мес</w:t>
            </w:r>
          </w:p>
        </w:tc>
        <w:tc>
          <w:tcPr/>
          <w:p>
            <w:r>
              <w:rPr>
                <w:b/>
              </w:rPr>
              <w:t>311 700 000</w:t>
            </w:r>
          </w:p>
        </w:tc>
        <w:tc>
          <w:tcPr/>
          <w:p/>
        </w:tc>
      </w:tr>
    </w:tbl>
    <w:sdt>
      <w:sdtPr>
        <w:tag w:val="clarkdown:div"/>
        <ck:div v="|panel|"/>
      </w:sdtPr>
      <w:sdtContent>
        <w:tbl>
          <w:tblPr>
            <w:tblW w:w="5000" w:type="pct"/>
            <w:tblBorders>
              <w:top w:val="none"/>
              <w:left w:val="none"/>
              <w:bottom w:val="none"/>
              <w:right w:val="none"/>
              <w:insideH w:val="none"/>
              <w:insideV w:val="none"/>
            </w:tblBorders>
            <w:tblCellMar>
              <w:top w:w="320" w:type="dxa"/>
              <w:left w:w="240" w:type="dxa"/>
              <w:bottom w:w="320" w:type="dxa"/>
              <w:right w:w="240" w:type="dxa"/>
            </w:tblCellMar>
          </w:tblPr>
          <w:tblGrid>
            <w:gridCol/>
          </w:tblGrid>
          <w:tr>
            <w:tc>
              <w:tcPr>
                <w:shd w:val="clear" w:fill="E4E4E4"/>
              </w:tcPr>
              <w:p>
                <w:r>
                  <w:rPr>
                    <w:b/>
                  </w:rPr>
                  <w:t>Ежемесячная прибыль:</w:t>
                </w:r>
                <w:r>
                  <w:t xml:space="preserve"> 28 300 000 сум · </w:t>
                </w:r>
                <w:r>
                  <w:rPr>
                    <w:b/>
                  </w:rPr>
                  <w:t>Срок окупаемости:</w:t>
                </w:r>
                <w:r>
                  <w:t xml:space="preserve"> 14,1 мес. · </w:t>
                </w:r>
                <w:r>
                  <w:rPr>
                    <w:b/>
                  </w:rPr>
                  <w:t>Рентабельность продаж:</w:t>
                </w:r>
                <w:r>
                  <w:t xml:space="preserve"> 8,3%</w:t>
                </w:r>
              </w:p>
            </w:tc>
          </w:tr>
        </w:tbl>
      </w:sdtContent>
    </w:sdt>
    <w:p>
      <w:r>
        <w:rPr>
          <w:rStyle w:val="CkCaption"/>
          <w:i/>
        </w:rPr>
        <w:t>Как считался этот пример: сумма стартовых затрат — ровно 400 млн сум, полностью соответствует резюме. Прибыль ≈28,3 млн сум/мес при выручке 340 млн/мес даёт окупаемость ≈14,1 мес. — соответствует резюме.</w:t>
      </w:r>
    </w:p>
    <w:p>
      <w:r>
        <w:t>[Впишите] Пересчитайте таблицы выше на основе цен, ставок аренды/зарплат и объёмов продаж вашего проекта в вашем регионе.</w:t>
      </w:r>
    </w:p>
    <w:p>
      <w:pPr>
        <w:pStyle w:val="Heading2"/>
        <ck:id v="risks"/>
      </w:pPr>
      <w:bookmarkStart w:id="10" w:name="risks"/>
      <w:r>
        <w:t>Риски и меры по их снижению</w:t>
      </w:r>
      <w:bookmarkEnd w:id="10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Риск</w:t>
            </w:r>
          </w:p>
        </w:tc>
        <w:tc>
          <w:tcPr/>
          <w:p>
            <w:r>
              <w:rPr>
                <w:b/>
              </w:rPr>
              <w:t>Меры снижения</w:t>
            </w:r>
          </w:p>
        </w:tc>
      </w:tr>
      <w:tr>
        <w:tc>
          <w:tcPr/>
          <w:p>
            <w:r>
              <w:t>Рост цен на стройматериалы в ходе исполнения долгосрочных договоров</w:t>
            </w:r>
          </w:p>
        </w:tc>
        <w:tc>
          <w:tcPr/>
          <w:p>
            <w:r>
              <w:t>Фиксация цен/предоплата у ключевых поставщиков, пункт о пересмотре сметы при росте цен свыше порога</w:t>
            </w:r>
          </w:p>
        </w:tc>
      </w:tr>
      <w:tr>
        <w:tc>
          <w:tcPr/>
          <w:p>
            <w:r>
              <w:t>Задержки оплат заказчиками</w:t>
            </w:r>
          </w:p>
        </w:tc>
        <w:tc>
          <w:tcPr/>
          <w:p>
            <w:r>
              <w:t>Поэтапная оплата по договору, авансирование, штрафные санкции за просрочку в договоре</w:t>
            </w:r>
          </w:p>
        </w:tc>
      </w:tr>
      <w:tr>
        <w:tc>
          <w:tcPr/>
          <w:p>
            <w:r>
              <w:t>Сезонность спроса (замедление в холодные месяцы)</w:t>
            </w:r>
          </w:p>
        </w:tc>
        <w:tc>
          <w:tcPr/>
          <w:p>
            <w:r>
              <w:t>Диверсификация видов работ (внутренняя отделка зимой, наружные и кровельные — в тёплый сезон)</w:t>
            </w:r>
          </w:p>
        </w:tc>
      </w:tr>
      <w:tr>
        <w:tc>
          <w:tcPr/>
          <w:p>
            <w:r>
              <w:t>Дефицит квалифицированных рабочих (каменщики, сварщики, отделочники)</w:t>
            </w:r>
          </w:p>
        </w:tc>
        <w:tc>
          <w:tcPr/>
          <w:p>
            <w:r>
              <w:t>Долгосрочные отношения с проверенными бригадами, обучение подмастерьев</w:t>
            </w:r>
          </w:p>
        </w:tc>
      </w:tr>
      <w:tr>
        <w:tc>
          <w:tcPr/>
          <w:p>
            <w:r>
              <w:t>Изменение строительных норм (KMK) и требований по энергоэффективности</w:t>
            </w:r>
          </w:p>
        </w:tc>
        <w:tc>
          <w:tcPr/>
          <w:p>
            <w:r>
              <w:t>Регулярный мониторинг нормативной базы, повышение квалификации ИТР</w:t>
            </w:r>
          </w:p>
        </w:tc>
      </w:tr>
      <w:tr>
        <w:tc>
          <w:tcPr/>
          <w:p>
            <w:r>
              <w:t>Срыв сроков субподрядчиками</w:t>
            </w:r>
          </w:p>
        </w:tc>
        <w:tc>
          <w:tcPr/>
          <w:p>
            <w:r>
              <w:t>Резервные подрядчики на критичные виды работ, штрафные условия в договорах субподряда</w:t>
            </w:r>
          </w:p>
        </w:tc>
      </w:tr>
    </w:tbl>
    <w:p>
      <w:r>
        <w:t>[Впишите] Дополните таблицу своими рисками, специфичными для вашего проекта и региона.</w:t>
      </w:r>
    </w:p>
    <w:sectPr>
      <ck:section v="1:||margins=1.1in,size=letter"/>
      <w:footerReference w:type="default" r:id="rIdHf1"/>
      <w:pgSz w:w="12240" w:h="15840"/>
      <w:pgMar w:top="1584" w:right="1584" w:bottom="1584" w:left="1584" w:header="720" w:footer="720" w:gutter="0"/>
    </w:sectPr>
  </w:body>
</w:document>
</file>

<file path=word/fontTable.xml><?xml version="1.0" encoding="utf-8"?>
<w:fonts xmlns:w="http://schemas.openxmlformats.org/wordprocessingml/2006/main">
  <w:font w:name="Cambria">
    <w:family w:val="roman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r>
          <w:t xml:space="preserve">MoliyaHub · </w:t>
        </w: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mbria" w:hAnsi="Cambria"/>
      <w:b/>
      <w:color w:val="1A1A1A"/>
      <w:sz w:val="38"/>
      <w:szCs w:val="38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mbria" w:hAnsi="Cambria"/>
      <w:b/>
      <w:sz w:val="32"/>
      <w:szCs w:val="32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mbria" w:hAnsi="Cambria"/>
      <w:b/>
      <w:sz w:val="26"/>
      <w:szCs w:val="26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mbria" w:hAnsi="Cambria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mbria" w:hAnsi="Cambria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mbria" w:hAnsi="Cambria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mbria" w:hAnsi="Cambria"/>
      <w:b/>
      <w:sz w:val="46"/>
      <w:szCs w:val="46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{"kv":{"theme":"serif"},"v":1}</vt:lpwstr>
  </property>
</Properties>
</file>