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Core" Type="http://schemas.openxmlformats.org/package/2006/relationships/metadata/core-properties" Target="docProps/core.xml"/><Relationship Id="rIdCustom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m="http://schemas.openxmlformats.org/officeDocument/2006/math" xmlns:mc="http://schemas.openxmlformats.org/markup-compatibility/2006" xmlns:ck="urn:clarkdown:docx" mc:Ignorable="ck">
  <w:body>
    <w:p>
      <w:pPr>
        <w:pStyle w:val="Title"/>
        <ck:id v="section"/>
      </w:pPr>
      <w:bookmarkStart w:id="0" w:name="section"/>
      <w:r>
        <w:t>БИЗНЕС-ПЛАН: ФИНАНСОВЫЙ СЕКТОР И СТРАХОВАНИЕ</w:t>
      </w:r>
      <w:bookmarkEnd w:id="0"/>
    </w:p>
    <w:p>
      <w:r>
        <w:rPr>
          <w:rStyle w:val="CkMuted"/>
        </w:rPr>
        <w:t>Пример: финтех-сервис или микрофинансовая организация</w:t>
      </w:r>
    </w:p>
    <w:p>
      <w:r>
        <w:t>Название проекта: [впишите]</w:t>
      </w:r>
      <w:r>
        <w:br/>
      </w:r>
      <w:r>
        <w:t>Автор / компания: [впишите]</w:t>
      </w:r>
      <w:r>
        <w:br/>
      </w:r>
      <w:r>
        <w:t>Регион реализации: [впишите]</w:t>
      </w:r>
      <w:r>
        <w:br/>
      </w:r>
      <w:r>
        <w:t>Требуемая сумма инвестиций, сум: [впишите]</w:t>
      </w:r>
      <w:r>
        <w:br/>
      </w:r>
      <w:r>
        <w:t>Дата: [впишите]</w:t>
      </w:r>
    </w:p>
    <w:p>
      <w:r>
        <w:rPr>
          <w:rStyle w:val="CkCaption"/>
          <w:i/>
        </w:rPr>
        <w:t>Это готовый образец (шаблон) бизнес-плана MoliyaHub для отрасли «Финансовый сектор и страхование». Замените текст в квадратных скобках [впишите] и примеры на данные вашего проекта, добавьте или удалите пункты по необходимости. Абзацы в рамке, отмеченные «ПРИМЕР», и раздел «Пример финансового расчёта» — иллюстрация формата и порядка величины на основе рыночных ориентиров 2025-2026 года, а не факты и не финансовая отчётность о реальной компании: перед подачей в банк или инвестору замените их на данные своего проекта. Тот же расчёт с рабочими формулами (SUM, прибыль, срок окупаемости, рентабельность), которые пересчитываются автоматически, — в отдельном Excel-файле с тем же названием, который дополняет этот документ.</w:t>
      </w:r>
    </w:p>
    <w:p>
      <w:pPr>
        <w:pStyle w:val="Heading2"/>
        <ck:id v="resume"/>
      </w:pPr>
      <w:bookmarkStart w:id="1" w:name="resume"/>
      <w:r>
        <w:t>Резюме проекта</w:t>
      </w:r>
      <w:bookmarkEnd w:id="1"/>
    </w:p>
    <w:sdt>
      <w:sdtPr>
        <w:tag w:val="clarkdown:div"/>
        <ck:div v="|panel|"/>
      </w:sdtPr>
      <w:sdtContent>
        <w:tbl>
          <w:tblPr>
            <w:tblW w:w="5000" w:type="pct"/>
            <w:tblBorders>
              <w:top w:val="none"/>
              <w:left w:val="none"/>
              <w:bottom w:val="none"/>
              <w:right w:val="none"/>
              <w:insideH w:val="none"/>
              <w:insideV w:val="none"/>
            </w:tblBorders>
            <w:tblCellMar>
              <w:top w:w="320" w:type="dxa"/>
              <w:left w:w="240" w:type="dxa"/>
              <w:bottom w:w="320" w:type="dxa"/>
              <w:right w:w="240" w:type="dxa"/>
            </w:tblCellMar>
          </w:tblPr>
          <w:tblGrid>
            <w:gridCol/>
          </w:tblGrid>
          <w:tr>
            <w:tc>
              <w:tcPr>
                <w:shd w:val="clear" w:fill="E4E4E4"/>
              </w:tcPr>
              <w:p>
                <w:r>
                  <w:rPr>
                    <w:rStyle w:val="CkKicker"/>
                  </w:rPr>
                  <w:t>ПРИМЕР</w:t>
                </w:r>
              </w:p>
              <w:p>
                <w:r>
                  <w:t>МФО «QulayQarz» выдаёт микрозаймы предпринимателям на пополнение оборотных средств через мобильное приложение со скоринг-моделью на основе транзакционных данных. Требуемый капитал — 1,2 млрд сум (включая фонд выдачи первых займов); окупаемость — около 20 месяцев при среднем размере займа и плановом уровне невозврата.</w:t>
                </w:r>
              </w:p>
            </w:tc>
          </w:tr>
        </w:tbl>
      </w:sdtContent>
    </w:sdt>
    <w:p>
      <w:r>
        <w:t>[Впишите] В 5-8 предложениях: суть проекта, какую проблему решает, для кого, требуемая сумма инвестиций и на что она пойдёт, ожидаемый результат (выручка/прибыль/срок окупаемости).</w:t>
      </w:r>
    </w:p>
    <w:p>
      <w:pPr>
        <w:pStyle w:val="Heading2"/>
        <ck:id v="company"/>
      </w:pPr>
      <w:bookmarkStart w:id="2" w:name="company"/>
      <w:r>
        <w:t>Описание компании / проекта</w:t>
      </w:r>
      <w:bookmarkEnd w:id="2"/>
    </w:p>
    <w:p>
      <w:r>
        <w:t>[Впишите] Организационно-правовая форма (ИП/ООО/фермерское хозяйство), команда, текущий статус проекта (идея / MVP / действующий бизнес), уникальное торговое предложение.</w:t>
      </w:r>
    </w:p>
    <w:p>
      <w:pPr>
        <w:pStyle w:val="Heading2"/>
        <ck:id v="market"/>
      </w:pPr>
      <w:bookmarkStart w:id="3" w:name="market"/>
      <w:r>
        <w:t>Анализ рынка: Финансовый сектор и страхование</w:t>
      </w:r>
      <w:bookmarkEnd w:id="3"/>
    </w:p>
    <w:p>
      <w:pPr>
        <w:pStyle w:val="ListParagraph"/>
        <w:numPr>
          <w:ilvl w:val="0"/>
          <w:numId w:val="1"/>
        </w:numPr>
      </w:pPr>
      <w:r>
        <w:t>В Узбекистане активно развивается финтех-экосистема на фоне роста цифровых платежей — Центральный банк регулирует и поддерживает цифровизацию платёжной инфраструктуры, включая развитие национальных платёжных систем (Uzcard, Humo) и подключение к ним новых сервисов (uzdaily.uz).</w:t>
      </w:r>
    </w:p>
    <w:p>
      <w:pPr>
        <w:pStyle w:val="ListParagraph"/>
        <w:numPr>
          <w:ilvl w:val="0"/>
          <w:numId w:val="1"/>
        </w:numPr>
      </w:pPr>
      <w:r>
        <w:t>По оценке Азиатского банка развития, перед Узбекистаном стоит задача не только нарастить объём цифровых платежей, но и превратить цифровые финансы в реальные накопления населения и доступ к капиталу для МСБ — то есть развитие идёт не только в сторону платежей, но и сберегательных/кредитных продуктов (uzdaily.uz).</w:t>
      </w:r>
    </w:p>
    <w:p>
      <w:pPr>
        <w:pStyle w:val="ListParagraph"/>
        <w:numPr>
          <w:ilvl w:val="0"/>
          <w:numId w:val="1"/>
        </w:numPr>
      </w:pPr>
      <w:r>
        <w:t>Растёт проникновение мобильного банкинга и безналичных платежей среди населения и бизнеса в крупных городах — но в регионах доступ к цифровым финансовым услугам и финансовая грамотность остаются ниже, что создаёт как барьер, так и нишу для локализованных продуктов.</w:t>
      </w:r>
    </w:p>
    <w:p>
      <w:pPr>
        <w:pStyle w:val="ListParagraph"/>
        <w:numPr>
          <w:ilvl w:val="0"/>
          <w:numId w:val="1"/>
        </w:numPr>
      </w:pPr>
      <w:r>
        <w:t>Растущий спрос МСБ на микрофинансирование и лизинг, особенно в регионах с ограниченным доступом к банковским услугам — при этом деятельность МФО и платёжных сервисов подлежит лицензированию и надзору ЦБ РУз.</w:t>
      </w:r>
    </w:p>
    <w:p>
      <w:pPr>
        <w:pStyle w:val="ListParagraph"/>
        <w:numPr>
          <w:ilvl w:val="0"/>
          <w:numId w:val="1"/>
        </w:numPr>
      </w:pPr>
      <w:r>
        <w:t>Для сравнения: Казахстан и Россия имеют более зрелые финтех-рынки с крупными игроками (Kaspi.kz, Тинькофф) — узбекский рынок ещё формируется, что даёт возможность занять нишу быстрее, но также означает менее отработанную нормативную базу и более высокую регуляторную неопределённость.</w:t>
      </w:r>
    </w:p>
    <w:p>
      <w:pPr>
        <w:pStyle w:val="ListParagraph"/>
        <w:numPr>
          <w:ilvl w:val="0"/>
          <w:numId w:val="1"/>
        </w:numPr>
      </w:pPr>
      <w:r>
        <w:t>[Впишите] Конкретную нишу (платежи/кредитование/лизинг/страхование), требования лицензирования ЦБ РУз для неё и данные по объёму сегмента — уточняйте на сайте cbu.uz.</w:t>
      </w:r>
    </w:p>
    <w:p>
      <w:pPr>
        <w:pStyle w:val="Heading3"/>
        <ck:id v="section-1"/>
      </w:pPr>
      <w:bookmarkStart w:id="4" w:name="section_1"/>
      <w:r>
        <w:t>Конкуренты</w:t>
      </w:r>
      <w:bookmarkEnd w:id="4"/>
    </w:p>
    <w:p>
      <w:r>
        <w:t>[Впишите] Список из 3-5 прямых конкурентов, их сильные и слабые стороны, чем вы отличаетесь.</w:t>
      </w:r>
    </w:p>
    <w:p>
      <w:pPr>
        <w:pStyle w:val="Heading3"/>
        <ck:id v="section-2"/>
      </w:pPr>
      <w:bookmarkStart w:id="5" w:name="section_2"/>
      <w:r>
        <w:t>Целевая аудитория</w:t>
      </w:r>
      <w:bookmarkEnd w:id="5"/>
    </w:p>
    <w:p>
      <w:r>
        <w:t>[Впишите] Портрет основного клиента: кто он, что для него важно при выборе, где его найти.</w:t>
      </w:r>
    </w:p>
    <w:p>
      <w:pPr>
        <w:pStyle w:val="Heading2"/>
        <ck:id v="marketing"/>
      </w:pPr>
      <w:bookmarkStart w:id="6" w:name="marketing"/>
      <w:r>
        <w:t>Маркетинговый план</w:t>
      </w:r>
      <w:bookmarkEnd w:id="6"/>
    </w:p>
    <w:sdt>
      <w:sdtPr>
        <w:tag w:val="clarkdown:div"/>
        <ck:div v="|panel|"/>
      </w:sdtPr>
      <w:sdtContent>
        <w:tbl>
          <w:tblPr>
            <w:tblW w:w="5000" w:type="pct"/>
            <w:tblBorders>
              <w:top w:val="none"/>
              <w:left w:val="none"/>
              <w:bottom w:val="none"/>
              <w:right w:val="none"/>
              <w:insideH w:val="none"/>
              <w:insideV w:val="none"/>
            </w:tblBorders>
            <w:tblCellMar>
              <w:top w:w="320" w:type="dxa"/>
              <w:left w:w="240" w:type="dxa"/>
              <w:bottom w:w="320" w:type="dxa"/>
              <w:right w:w="240" w:type="dxa"/>
            </w:tblCellMar>
          </w:tblPr>
          <w:tblGrid>
            <w:gridCol/>
          </w:tblGrid>
          <w:tr>
            <w:tc>
              <w:tcPr>
                <w:shd w:val="clear" w:fill="E4E4E4"/>
              </w:tcPr>
              <w:p>
                <w:r>
                  <w:rPr>
                    <w:rStyle w:val="CkKicker"/>
                  </w:rPr>
                  <w:t>ПРИМЕР</w:t>
                </w:r>
              </w:p>
              <w:p>
                <w:r>
                  <w:t>Продвижение — партнёрство с 2-3 маркетплейсами и поставщиками для встроенного кредитования (embedded finance) их продавцов, таргетированная реклама в соцсетях для предпринимателей, реферальная программа для существующих клиентов.</w:t>
                </w:r>
              </w:p>
            </w:tc>
          </w:tr>
        </w:tbl>
      </w:sdtContent>
    </w:sdt>
    <w:p>
      <w:r>
        <w:t>[Впишите] Ценообразование, каналы продвижения и продаж, план привлечения первых клиентов.</w:t>
      </w:r>
    </w:p>
    <w:p>
      <w:pPr>
        <w:pStyle w:val="Heading2"/>
        <ck:id v="operations"/>
      </w:pPr>
      <w:bookmarkStart w:id="7" w:name="operations"/>
      <w:r>
        <w:t>Операционный план</w:t>
      </w:r>
      <w:bookmarkEnd w:id="7"/>
    </w:p>
    <w:sdt>
      <w:sdtPr>
        <w:tag w:val="clarkdown:div"/>
        <ck:div v="|panel|"/>
      </w:sdtPr>
      <w:sdtContent>
        <w:tbl>
          <w:tblPr>
            <w:tblW w:w="5000" w:type="pct"/>
            <w:tblBorders>
              <w:top w:val="none"/>
              <w:left w:val="none"/>
              <w:bottom w:val="none"/>
              <w:right w:val="none"/>
              <w:insideH w:val="none"/>
              <w:insideV w:val="none"/>
            </w:tblBorders>
            <w:tblCellMar>
              <w:top w:w="320" w:type="dxa"/>
              <w:left w:w="240" w:type="dxa"/>
              <w:bottom w:w="320" w:type="dxa"/>
              <w:right w:w="240" w:type="dxa"/>
            </w:tblCellMar>
          </w:tblPr>
          <w:tblGrid>
            <w:gridCol/>
          </w:tblGrid>
          <w:tr>
            <w:tc>
              <w:tcPr>
                <w:shd w:val="clear" w:fill="E4E4E4"/>
              </w:tcPr>
              <w:p>
                <w:r>
                  <w:rPr>
                    <w:rStyle w:val="CkKicker"/>
                  </w:rPr>
                  <w:t>ПРИМЕР</w:t>
                </w:r>
              </w:p>
              <w:p>
                <w:r>
                  <w:t>Цикл: заявка через приложение → скоринг и проверка → одобрение → выдача займа на карту → автоматическое списание платежей по графику → работа с просрочкой. Требуется лицензия ЦБ РУз на деятельность МФО и внедрение AML/KYC-процедур.</w:t>
                </w:r>
              </w:p>
            </w:tc>
          </w:tr>
        </w:tbl>
      </w:sdtContent>
    </w:sdt>
    <w:p>
      <w:r>
        <w:t>[Впишите] Процесс производства/оказания услуги, ключевые поставщики, оборудование, необходимые лицензии и разрешения.</w:t>
      </w:r>
    </w:p>
    <w:p>
      <w:pPr>
        <w:pStyle w:val="Heading2"/>
        <ck:id v="org"/>
      </w:pPr>
      <w:bookmarkStart w:id="8" w:name="org"/>
      <w:r>
        <w:t>Организационный план</w:t>
      </w:r>
      <w:bookmarkEnd w:id="8"/>
    </w:p>
    <w:sdt>
      <w:sdtPr>
        <w:tag w:val="clarkdown:div"/>
        <ck:div v="|panel|"/>
      </w:sdtPr>
      <w:sdtContent>
        <w:tbl>
          <w:tblPr>
            <w:tblW w:w="5000" w:type="pct"/>
            <w:tblBorders>
              <w:top w:val="none"/>
              <w:left w:val="none"/>
              <w:bottom w:val="none"/>
              <w:right w:val="none"/>
              <w:insideH w:val="none"/>
              <w:insideV w:val="none"/>
            </w:tblBorders>
            <w:tblCellMar>
              <w:top w:w="320" w:type="dxa"/>
              <w:left w:w="240" w:type="dxa"/>
              <w:bottom w:w="320" w:type="dxa"/>
              <w:right w:w="240" w:type="dxa"/>
            </w:tblCellMar>
          </w:tblPr>
          <w:tblGrid>
            <w:gridCol/>
          </w:tblGrid>
          <w:tr>
            <w:tc>
              <w:tcPr>
                <w:shd w:val="clear" w:fill="E4E4E4"/>
              </w:tcPr>
              <w:p>
                <w:r>
                  <w:rPr>
                    <w:rStyle w:val="CkKicker"/>
                  </w:rPr>
                  <w:t>ПРИМЕР</w:t>
                </w:r>
              </w:p>
              <w:p>
                <w:r>
                  <w:t>Директор, риск-менеджер/скоринг-аналитик, комплаенс-офицер, 2 менеджера по работе с клиентами, разработчик приложения на аутсорсе. Форма — ООО с лицензией МФО от ЦБ РУз.</w:t>
                </w:r>
              </w:p>
            </w:tc>
          </w:tr>
        </w:tbl>
      </w:sdtContent>
    </w:sdt>
    <w:p>
      <w:r>
        <w:t>[Впишите] Команда и роли, штатное расписание, организационно-правовая форма.</w:t>
      </w:r>
    </w:p>
    <w:p>
      <w:pPr>
        <w:pStyle w:val="Heading2"/>
        <ck:id v="financial-example"/>
      </w:pPr>
      <w:bookmarkStart w:id="9" w:name="financial_example"/>
      <w:r>
        <w:t>Пример финансового расчёта</w:t>
      </w:r>
      <w:bookmarkEnd w:id="9"/>
    </w:p>
    <w:p>
      <w:r>
        <w:rPr>
          <w:rStyle w:val="CkCaption"/>
          <w:i/>
        </w:rPr>
        <w:t>Ниже — полностью посчитанный пример для иллюстративной компании из резюме, на основе рыночных ориентиров 2025-2026 года (аренда, зарплаты, цены на оборудование, налоги, ставки — со ссылкой на источник там, где он известен) и экспертных оценок порядка величины там, где точных данных нет (это отмечено в комментариях). Он показывает логику расчёта и реалистичный масштаб цифр — это не финансовая отчётность и не готовая заявка на кредит. Тот же расчёт с рабочими формулами — в Excel-файле с тем же названием; замените суммы там на данные своего проекта, и всё пересчитается автоматически.</w:t>
      </w:r>
    </w:p>
    <w:p>
      <w:r>
        <w:rPr>
          <w:b/>
        </w:rPr>
        <w:t>Стартовые затраты (единоразово)</w:t>
      </w:r>
    </w:p>
    <w:tbl>
      <w:tblPr>
        <w:tblStyle w:val="CkTable"/>
        <w:tblW w:w="0" w:type="auto"/>
        <w:tblLayout w:type="autofit"/>
        <w:tblLook w:firstRow="1" w:lastRow="0" w:firstColumn="0" w:lastColumn="0" w:noHBand="0" w:noVBand="1"/>
      </w:tblPr>
      <w:tblGrid>
        <w:gridCol/>
        <w:gridCol/>
        <w:gridCol/>
      </w:tblGrid>
      <w:tr>
        <w:trPr>
          <w:tblHeader/>
        </w:trPr>
        <w:tc>
          <w:tcPr/>
          <w:p>
            <w:r>
              <w:rPr>
                <w:b/>
              </w:rPr>
              <w:t>Статья</w:t>
            </w:r>
          </w:p>
        </w:tc>
        <w:tc>
          <w:tcPr/>
          <w:p>
            <w:r>
              <w:rPr>
                <w:b/>
              </w:rPr>
              <w:t>Сумма, сум</w:t>
            </w:r>
          </w:p>
        </w:tc>
        <w:tc>
          <w:tcPr/>
          <w:p>
            <w:r>
              <w:rPr>
                <w:b/>
              </w:rPr>
              <w:t>Комментарий</w:t>
            </w:r>
          </w:p>
        </w:tc>
      </w:tr>
      <w:tr>
        <w:tc>
          <w:tcPr/>
          <w:p>
            <w:r>
              <w:t>Лицензирование деятельности</w:t>
            </w:r>
          </w:p>
        </w:tc>
        <w:tc>
          <w:tcPr/>
          <w:p>
            <w:r>
              <w:t>18 000 000</w:t>
            </w:r>
          </w:p>
        </w:tc>
        <w:tc>
          <w:tcPr/>
          <w:p>
            <w:r>
              <w:t>оценка: юр. сопровождение регистрации МКО, госпошлины, обязательные публикации</w:t>
            </w:r>
          </w:p>
        </w:tc>
      </w:tr>
      <w:tr>
        <w:tc>
          <w:tcPr/>
          <w:p>
            <w:r>
              <w:t>IT-платформа / приложение</w:t>
            </w:r>
          </w:p>
        </w:tc>
        <w:tc>
          <w:tcPr/>
          <w:p>
            <w:r>
              <w:t>190 000 000</w:t>
            </w:r>
          </w:p>
        </w:tc>
        <w:tc>
          <w:tcPr/>
          <w:p>
            <w:r>
              <w:t>оценка стоимости разработки мобильного приложения со скоринговой моделью и бэкендом (MVP, аутсорс)</w:t>
            </w:r>
          </w:p>
        </w:tc>
      </w:tr>
      <w:tr>
        <w:tc>
          <w:tcPr/>
          <w:p>
            <w:r>
              <w:t>Капитал для выдачи первых займов</w:t>
            </w:r>
          </w:p>
        </w:tc>
        <w:tc>
          <w:tcPr/>
          <w:p>
            <w:r>
              <w:t>850 000 000</w:t>
            </w:r>
          </w:p>
        </w:tc>
        <w:tc>
          <w:tcPr/>
          <w:p>
            <w:r>
              <w:t>оценка: остаток бюджета 1,2 млрд сум после прочих статей — формирует стартовый кредитный портфель</w:t>
            </w:r>
          </w:p>
        </w:tc>
      </w:tr>
      <w:tr>
        <w:tc>
          <w:tcPr/>
          <w:p>
            <w:r>
              <w:t>Комплаенс и AML/KYC-системы</w:t>
            </w:r>
          </w:p>
        </w:tc>
        <w:tc>
          <w:tcPr/>
          <w:p>
            <w:r>
              <w:t>50 000 000</w:t>
            </w:r>
          </w:p>
        </w:tc>
        <w:tc>
          <w:tcPr/>
          <w:p>
            <w:r>
              <w:t>оценка: системы идентификации клиентов, скоринговые интеграции, AML-мониторинг</w:t>
            </w:r>
          </w:p>
        </w:tc>
      </w:tr>
      <w:tr>
        <w:tc>
          <w:tcPr/>
          <w:p>
            <w:r>
              <w:t>Офис и оборудование</w:t>
            </w:r>
          </w:p>
        </w:tc>
        <w:tc>
          <w:tcPr/>
          <w:p>
            <w:r>
              <w:t>92 000 000</w:t>
            </w:r>
          </w:p>
        </w:tc>
        <w:tc>
          <w:tcPr/>
          <w:p>
            <w:r>
              <w:t>оценка: аренда/ремонт небольшого офиса, мебель и техника для команды ~5 человек</w:t>
            </w:r>
          </w:p>
        </w:tc>
      </w:tr>
      <w:tr>
        <w:tc>
          <w:tcPr/>
          <w:p>
            <w:r>
              <w:rPr>
                <w:b/>
              </w:rPr>
              <w:t>Итого стартовые затраты</w:t>
            </w:r>
          </w:p>
        </w:tc>
        <w:tc>
          <w:tcPr/>
          <w:p>
            <w:r>
              <w:rPr>
                <w:b/>
              </w:rPr>
              <w:t>1 200 000 000</w:t>
            </w:r>
          </w:p>
        </w:tc>
        <w:tc>
          <w:tcPr/>
          <w:p/>
        </w:tc>
      </w:tr>
    </w:tbl>
    <w:p>
      <w:r>
        <w:rPr>
          <w:b/>
        </w:rPr>
        <w:t>Ежемесячная выручка</w:t>
      </w:r>
    </w:p>
    <w:tbl>
      <w:tblPr>
        <w:tblStyle w:val="CkTable"/>
        <w:tblW w:w="0" w:type="auto"/>
        <w:tblLayout w:type="autofit"/>
        <w:tblLook w:firstRow="1" w:lastRow="0" w:firstColumn="0" w:lastColumn="0" w:noHBand="0" w:noVBand="1"/>
      </w:tblPr>
      <w:tblGrid>
        <w:gridCol/>
        <w:gridCol/>
        <w:gridCol/>
      </w:tblGrid>
      <w:tr>
        <w:trPr>
          <w:tblHeader/>
        </w:trPr>
        <w:tc>
          <w:tcPr/>
          <w:p>
            <w:r>
              <w:rPr>
                <w:b/>
              </w:rPr>
              <w:t>Статья</w:t>
            </w:r>
          </w:p>
        </w:tc>
        <w:tc>
          <w:tcPr/>
          <w:p>
            <w:r>
              <w:rPr>
                <w:b/>
              </w:rPr>
              <w:t>Сумма, сум</w:t>
            </w:r>
          </w:p>
        </w:tc>
        <w:tc>
          <w:tcPr/>
          <w:p>
            <w:r>
              <w:rPr>
                <w:b/>
              </w:rPr>
              <w:t>Комментарий</w:t>
            </w:r>
          </w:p>
        </w:tc>
      </w:tr>
      <w:tr>
        <w:tc>
          <w:tcPr/>
          <w:p>
            <w:r>
              <w:t>Процентный доход по займам/лизингу</w:t>
            </w:r>
          </w:p>
        </w:tc>
        <w:tc>
          <w:tcPr/>
          <w:p>
            <w:r>
              <w:t>35 500 000</w:t>
            </w:r>
          </w:p>
        </w:tc>
        <w:tc>
          <w:tcPr/>
          <w:p>
            <w:r>
              <w:t>портфель ~850 млн × ~50% годовых / 12 — ставка ограничена потолком ЦБ РУз (совокупная переплата ≤50%/год с апр. 2025, Spot.uz)</w:t>
            </w:r>
          </w:p>
        </w:tc>
      </w:tr>
      <w:tr>
        <w:tc>
          <w:tcPr/>
          <w:p>
            <w:r>
              <w:t>Комиссии за транзакции/обслуживание</w:t>
            </w:r>
          </w:p>
        </w:tc>
        <w:tc>
          <w:tcPr/>
          <w:p>
            <w:r>
              <w:t>8 500 000</w:t>
            </w:r>
          </w:p>
        </w:tc>
        <w:tc>
          <w:tcPr/>
          <w:p>
            <w:r>
              <w:t>оценка дохода от комиссий за обслуживание/переводы в рамках общего лимита переплаты</w:t>
            </w:r>
          </w:p>
        </w:tc>
      </w:tr>
      <w:tr>
        <w:tc>
          <w:tcPr/>
          <w:p>
            <w:r>
              <w:t>Партнёрские комиссии (embedded finance)</w:t>
            </w:r>
          </w:p>
        </w:tc>
        <w:tc>
          <w:tcPr/>
          <w:p>
            <w:r>
              <w:t>16 000 000</w:t>
            </w:r>
          </w:p>
        </w:tc>
        <w:tc>
          <w:tcPr/>
          <w:p>
            <w:r>
              <w:t>оценка дохода от партнёрств с маркетплейсами за встроенное кредитование продавцов</w:t>
            </w:r>
          </w:p>
        </w:tc>
      </w:tr>
      <w:tr>
        <w:tc>
          <w:tcPr/>
          <w:p>
            <w:r>
              <w:rPr>
                <w:b/>
              </w:rPr>
              <w:t>Итого выручка/мес</w:t>
            </w:r>
          </w:p>
        </w:tc>
        <w:tc>
          <w:tcPr/>
          <w:p>
            <w:r>
              <w:rPr>
                <w:b/>
              </w:rPr>
              <w:t>60 000 000</w:t>
            </w:r>
          </w:p>
        </w:tc>
        <w:tc>
          <w:tcPr/>
          <w:p/>
        </w:tc>
      </w:tr>
    </w:tbl>
    <w:p>
      <w:r>
        <w:rPr>
          <w:b/>
        </w:rPr>
        <w:t>Ежемесячные операционные расходы</w:t>
      </w:r>
    </w:p>
    <w:tbl>
      <w:tblPr>
        <w:tblStyle w:val="CkTable"/>
        <w:tblW w:w="0" w:type="auto"/>
        <w:tblLayout w:type="autofit"/>
        <w:tblLook w:firstRow="1" w:lastRow="0" w:firstColumn="0" w:lastColumn="0" w:noHBand="0" w:noVBand="1"/>
      </w:tblPr>
      <w:tblGrid>
        <w:gridCol/>
        <w:gridCol/>
        <w:gridCol/>
      </w:tblGrid>
      <w:tr>
        <w:trPr>
          <w:tblHeader/>
        </w:trPr>
        <w:tc>
          <w:tcPr/>
          <w:p>
            <w:r>
              <w:rPr>
                <w:b/>
              </w:rPr>
              <w:t>Статья</w:t>
            </w:r>
          </w:p>
        </w:tc>
        <w:tc>
          <w:tcPr/>
          <w:p>
            <w:r>
              <w:rPr>
                <w:b/>
              </w:rPr>
              <w:t>Сумма, сум</w:t>
            </w:r>
          </w:p>
        </w:tc>
        <w:tc>
          <w:tcPr/>
          <w:p>
            <w:r>
              <w:rPr>
                <w:b/>
              </w:rPr>
              <w:t>Комментарий</w:t>
            </w:r>
          </w:p>
        </w:tc>
      </w:tr>
      <w:tr>
        <w:tc>
          <w:tcPr/>
          <w:p>
            <w:r>
              <w:t>ФОТ (включая комплаенс и риск-менеджмент)</w:t>
            </w:r>
          </w:p>
        </w:tc>
        <w:tc>
          <w:tcPr/>
          <w:p>
            <w:r>
              <w:t>30 000 000</w:t>
            </w:r>
          </w:p>
        </w:tc>
        <w:tc>
          <w:tcPr/>
          <w:p>
            <w:r>
              <w:t>компактная стартовая команда (директор, риск-менеджер, комплаенс, 2 менеджера) — оценка по уровню малых финтех-компаний Ташкента</w:t>
            </w:r>
          </w:p>
        </w:tc>
      </w:tr>
      <w:tr>
        <w:tc>
          <w:tcPr/>
          <w:p>
            <w:r>
              <w:t>IT-инфраструктура и кибербезопасность</w:t>
            </w:r>
          </w:p>
        </w:tc>
        <w:tc>
          <w:tcPr/>
          <w:p>
            <w:r>
              <w:t>6 000 000</w:t>
            </w:r>
          </w:p>
        </w:tc>
        <w:tc>
          <w:tcPr/>
          <w:p>
            <w:r>
              <w:t>оценка: разработчик на аутсорсе, облачный хостинг, защита персональных данных</w:t>
            </w:r>
          </w:p>
        </w:tc>
      </w:tr>
      <w:tr>
        <w:tc>
          <w:tcPr/>
          <w:p>
            <w:r>
              <w:t>Резервы на возможные потери по займам</w:t>
            </w:r>
          </w:p>
        </w:tc>
        <w:tc>
          <w:tcPr/>
          <w:p>
            <w:r>
              <w:t>3 500 000</w:t>
            </w:r>
          </w:p>
        </w:tc>
        <w:tc>
          <w:tcPr/>
          <w:p>
            <w:r>
              <w:t>расчёт: ~5% годовых от портфеля 850 млн / 12 — консервативная норма резервирования</w:t>
            </w:r>
          </w:p>
        </w:tc>
      </w:tr>
      <w:tr>
        <w:tc>
          <w:tcPr/>
          <w:p>
            <w:r>
              <w:t>Маркетинг и привлечение клиентов</w:t>
            </w:r>
          </w:p>
        </w:tc>
        <w:tc>
          <w:tcPr/>
          <w:p>
            <w:r>
              <w:t>3 000 000</w:t>
            </w:r>
          </w:p>
        </w:tc>
        <w:tc>
          <w:tcPr/>
          <w:p>
            <w:r>
              <w:t>оценка расходов на привлечение первых заёмщиков через цифровые каналы</w:t>
            </w:r>
          </w:p>
        </w:tc>
      </w:tr>
      <w:tr>
        <w:tc>
          <w:tcPr/>
          <w:p>
            <w:r>
              <w:t>Лицензионные и регуляторные сборы</w:t>
            </w:r>
          </w:p>
        </w:tc>
        <w:tc>
          <w:tcPr/>
          <w:p>
            <w:r>
              <w:t>2 000 000</w:t>
            </w:r>
          </w:p>
        </w:tc>
        <w:tc>
          <w:tcPr/>
          <w:p>
            <w:r>
              <w:t>оценка расходов на отчётность перед ЦБ, аудит, регуляторные сборы</w:t>
            </w:r>
          </w:p>
        </w:tc>
      </w:tr>
      <w:tr>
        <w:tc>
          <w:tcPr/>
          <w:p>
            <w:r>
              <w:rPr>
                <w:b/>
              </w:rPr>
              <w:t>Итого расходы/мес</w:t>
            </w:r>
          </w:p>
        </w:tc>
        <w:tc>
          <w:tcPr/>
          <w:p>
            <w:r>
              <w:rPr>
                <w:b/>
              </w:rPr>
              <w:t>44 500 000</w:t>
            </w:r>
          </w:p>
        </w:tc>
        <w:tc>
          <w:tcPr/>
          <w:p/>
        </w:tc>
      </w:tr>
    </w:tbl>
    <w:sdt>
      <w:sdtPr>
        <w:tag w:val="clarkdown:div"/>
        <ck:div v="|panel|"/>
      </w:sdtPr>
      <w:sdtContent>
        <w:tbl>
          <w:tblPr>
            <w:tblW w:w="5000" w:type="pct"/>
            <w:tblBorders>
              <w:top w:val="none"/>
              <w:left w:val="none"/>
              <w:bottom w:val="none"/>
              <w:right w:val="none"/>
              <w:insideH w:val="none"/>
              <w:insideV w:val="none"/>
            </w:tblBorders>
            <w:tblCellMar>
              <w:top w:w="320" w:type="dxa"/>
              <w:left w:w="240" w:type="dxa"/>
              <w:bottom w:w="320" w:type="dxa"/>
              <w:right w:w="240" w:type="dxa"/>
            </w:tblCellMar>
          </w:tblPr>
          <w:tblGrid>
            <w:gridCol/>
          </w:tblGrid>
          <w:tr>
            <w:tc>
              <w:tcPr>
                <w:shd w:val="clear" w:fill="E4E4E4"/>
              </w:tcPr>
              <w:p>
                <w:r>
                  <w:rPr>
                    <w:b/>
                  </w:rPr>
                  <w:t>Ежемесячная прибыль:</w:t>
                </w:r>
                <w:r>
                  <w:t xml:space="preserve"> 15 500 000 сум · </w:t>
                </w:r>
                <w:r>
                  <w:rPr>
                    <w:b/>
                  </w:rPr>
                  <w:t>Срок окупаемости:</w:t>
                </w:r>
                <w:r>
                  <w:t xml:space="preserve"> 77,4 мес. (не показателен для всей суммы — см. пояснение ниже) · </w:t>
                </w:r>
                <w:r>
                  <w:rPr>
                    <w:b/>
                  </w:rPr>
                  <w:t>Рентабельность продаж:</w:t>
                </w:r>
                <w:r>
                  <w:t xml:space="preserve"> 25,8%</w:t>
                </w:r>
              </w:p>
            </w:tc>
          </w:tr>
        </w:tbl>
      </w:sdtContent>
    </w:sdt>
    <w:p>
      <w:r>
        <w:rPr>
          <w:rStyle w:val="CkCaption"/>
          <w:i/>
        </w:rPr>
        <w:t>Как считался этот пример: важно про срок окупаемости — 850 млн сум «фонда выдачи займов» — это оборотный актив (портфель), а не безвозвратные вложения, поэтому делить весь 1,2 млрд на месячную прибыль (≈15,5 млн) некорректно — так выйдет ≈77 мес. Если считать окупаемость только по невозвратным разовым вложениям (лицензирование + IT-платформа + комплаенс + офис = 350 млн), срок ≈22,6 мес. — близко к заявленным ~20 мес. Это методологически корректный способ считать окупаемость для кредитного бизнеса.</w:t>
      </w:r>
    </w:p>
    <w:p>
      <w:r>
        <w:t>[Впишите] Пересчитайте таблицы выше на основе цен, ставок аренды/зарплат и объёмов продаж вашего проекта в вашем регионе.</w:t>
      </w:r>
    </w:p>
    <w:p>
      <w:pPr>
        <w:pStyle w:val="Heading2"/>
        <ck:id v="risks"/>
      </w:pPr>
      <w:bookmarkStart w:id="10" w:name="risks"/>
      <w:r>
        <w:t>Риски и меры по их снижению</w:t>
      </w:r>
      <w:bookmarkEnd w:id="10"/>
    </w:p>
    <w:tbl>
      <w:tblPr>
        <w:tblStyle w:val="CkTable"/>
        <w:tblW w:w="0" w:type="auto"/>
        <w:tblLayout w:type="autofit"/>
        <w:tblLook w:firstRow="1" w:lastRow="0" w:firstColumn="0" w:lastColumn="0" w:noHBand="0" w:noVBand="1"/>
      </w:tblPr>
      <w:tblGrid>
        <w:gridCol/>
        <w:gridCol/>
      </w:tblGrid>
      <w:tr>
        <w:trPr>
          <w:tblHeader/>
        </w:trPr>
        <w:tc>
          <w:tcPr/>
          <w:p>
            <w:r>
              <w:rPr>
                <w:b/>
              </w:rPr>
              <w:t>Риск</w:t>
            </w:r>
          </w:p>
        </w:tc>
        <w:tc>
          <w:tcPr/>
          <w:p>
            <w:r>
              <w:rPr>
                <w:b/>
              </w:rPr>
              <w:t>Меры снижения</w:t>
            </w:r>
          </w:p>
        </w:tc>
      </w:tr>
      <w:tr>
        <w:tc>
          <w:tcPr/>
          <w:p>
            <w:r>
              <w:t>Кредитный риск (невозврат займов)</w:t>
            </w:r>
          </w:p>
        </w:tc>
        <w:tc>
          <w:tcPr/>
          <w:p>
            <w:r>
              <w:t>Скоринг заёмщиков на основе данных, диверсификация портфеля, лимиты на одного заёмщика</w:t>
            </w:r>
          </w:p>
        </w:tc>
      </w:tr>
      <w:tr>
        <w:tc>
          <w:tcPr/>
          <w:p>
            <w:r>
              <w:t>Регуляторные изменения со стороны ЦБ РУз</w:t>
            </w:r>
          </w:p>
        </w:tc>
        <w:tc>
          <w:tcPr/>
          <w:p>
            <w:r>
              <w:t>Постоянный мониторинг требований, резерв времени и бюджета на комплаенс</w:t>
            </w:r>
          </w:p>
        </w:tc>
      </w:tr>
      <w:tr>
        <w:tc>
          <w:tcPr/>
          <w:p>
            <w:r>
              <w:t>Киберугрозы и утечка финансовых данных клиентов</w:t>
            </w:r>
          </w:p>
        </w:tc>
        <w:tc>
          <w:tcPr/>
          <w:p>
            <w:r>
              <w:t>Аудит информационной безопасности, страхование киберрисков, шифрование данных</w:t>
            </w:r>
          </w:p>
        </w:tc>
      </w:tr>
      <w:tr>
        <w:tc>
          <w:tcPr/>
          <w:p>
            <w:r>
              <w:t>Валютные риски при работе с иностранными инвесторами/платформами</w:t>
            </w:r>
          </w:p>
        </w:tc>
        <w:tc>
          <w:tcPr/>
          <w:p>
            <w:r>
              <w:t>Хеджирование, расчёты преимущественно в национальной валюте</w:t>
            </w:r>
          </w:p>
        </w:tc>
      </w:tr>
      <w:tr>
        <w:tc>
          <w:tcPr/>
          <w:p>
            <w:r>
              <w:t>Низкая финансовая грамотность части целевой аудитории</w:t>
            </w:r>
          </w:p>
        </w:tc>
        <w:tc>
          <w:tcPr/>
          <w:p>
            <w:r>
              <w:t>Простой и понятный интерфейс, обучающий контент, поддержка на местном языке</w:t>
            </w:r>
          </w:p>
        </w:tc>
      </w:tr>
      <w:tr>
        <w:tc>
          <w:tcPr/>
          <w:p>
            <w:r>
              <w:t>Репутационный риск при агрессивном взыскании задолженности</w:t>
            </w:r>
          </w:p>
        </w:tc>
        <w:tc>
          <w:tcPr/>
          <w:p>
            <w:r>
              <w:t>Прозрачная и этичная политика взыскания, соответствие требованиям ЦБ РУз по защите прав потребителей</w:t>
            </w:r>
          </w:p>
        </w:tc>
      </w:tr>
    </w:tbl>
    <w:p>
      <w:r>
        <w:t>[Впишите] Дополните таблицу своими рисками, специфичными для вашего проекта и региона.</w:t>
      </w:r>
    </w:p>
    <w:sectPr>
      <ck:section v="1:||margins=1.1in,size=letter"/>
      <w:footerReference w:type="default" r:id="rIdHf1"/>
      <w:pgSz w:w="12240" w:h="15840"/>
      <w:pgMar w:top="1584" w:right="1584" w:bottom="1584" w:left="1584" w:header="720" w:footer="720" w:gutter="0"/>
    </w:sectPr>
  </w:body>
</w:document>
</file>

<file path=word/fontTable.xml><?xml version="1.0" encoding="utf-8"?>
<w:fonts xmlns:w="http://schemas.openxmlformats.org/wordprocessingml/2006/main">
  <w:font w:name="Cambria">
    <w:family w:val="roman"/>
  </w:font>
  <w:font w:name="Consolas">
    <w:family w:val="modern"/>
  </w:font>
</w:fonts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="http://schemas.openxmlformats.org/officeDocument/2006/math" xmlns:mc="http://schemas.openxmlformats.org/markup-compatibility/2006" xmlns:ck="urn:clarkdown:docx" mc:Ignorable="ck">
  <w:sdt>
    <w:sdtPr>
      <w:tag w:val="clarkdown:div"/>
      <ck:div v="||text-align=center"/>
    </w:sdtPr>
    <w:sdtContent>
      <w:p>
        <w:pPr>
          <w:jc w:val="center"/>
        </w:pPr>
        <w:r>
          <w:t xml:space="preserve">MoliyaHub · </w:t>
        </w:r>
        <w:fldSimple w:instr="PAGE">
          <w:r>
            <w:t>1</w:t>
          </w:r>
        </w:fldSimple>
      </w:p>
    </w:sdtContent>
  </w:sdt>
</w:ftr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1."/>
      <w:lvlJc w:val="left"/>
      <w:pPr>
        <w:ind w:left="2880" w:hanging="360"/>
      </w:pPr>
    </w:lvl>
    <w:lvl w:ilvl="4">
      <w:start w:val="1"/>
      <w:numFmt w:val="decimal"/>
      <w:lvlText w:val="%2."/>
      <w:lvlJc w:val="left"/>
      <w:pPr>
        <w:ind w:left="3600" w:hanging="360"/>
      </w:pPr>
    </w:lvl>
    <w:lvl w:ilvl="5">
      <w:start w:val="1"/>
      <w:numFmt w:val="decimal"/>
      <w:lvlText w:val="%3."/>
      <w:lvlJc w:val="left"/>
      <w:pPr>
        <w:ind w:left="4320" w:hanging="360"/>
      </w:pPr>
    </w:lvl>
    <w:lvl w:ilvl="6">
      <w:start w:val="1"/>
      <w:numFmt w:val="decimal"/>
      <w:lvlText w:val="%1."/>
      <w:lvlJc w:val="left"/>
      <w:pPr>
        <w:ind w:left="5040" w:hanging="360"/>
      </w:pPr>
    </w:lvl>
    <w:lvl w:ilvl="7">
      <w:start w:val="1"/>
      <w:numFmt w:val="decimal"/>
      <w:lvlText w:val="%2."/>
      <w:lvlJc w:val="left"/>
      <w:pPr>
        <w:ind w:left="5760" w:hanging="360"/>
      </w:pPr>
    </w:lvl>
    <w:lvl w:ilvl="8">
      <w:start w:val="1"/>
      <w:numFmt w:val="decimal"/>
      <w:lvlText w:val="%3."/>
      <w:lvlJc w:val="left"/>
      <w:pPr>
        <w:ind w:left="6480" w:hanging="360"/>
      </w:pPr>
    </w:lvl>
  </w:abstractNum>
  <w:abstractNum w:abstractNumId="3">
    <w:multiLevelType w:val="hybridMultilevel"/>
    <w:lvl w:ilvl="0">
      <w:start w:val="1"/>
      <w:numFmt w:val="bullet"/>
      <w:lvlText w:val="☐"/>
      <w:lvlJc w:val="left"/>
      <w:pPr>
        <w:ind w:left="720" w:hanging="360"/>
      </w:pPr>
    </w:lvl>
    <w:lvl w:ilvl="1">
      <w:start w:val="1"/>
      <w:numFmt w:val="bullet"/>
      <w:lvlText w:val="☐"/>
      <w:lvlJc w:val="left"/>
      <w:pPr>
        <w:ind w:left="1440" w:hanging="360"/>
      </w:pPr>
    </w:lvl>
    <w:lvl w:ilvl="2">
      <w:start w:val="1"/>
      <w:numFmt w:val="bullet"/>
      <w:lvlText w:val="☐"/>
      <w:lvlJc w:val="left"/>
      <w:pPr>
        <w:ind w:left="2160" w:hanging="360"/>
      </w:pPr>
    </w:lvl>
    <w:lvl w:ilvl="3">
      <w:start w:val="1"/>
      <w:numFmt w:val="bullet"/>
      <w:lvlText w:val="☐"/>
      <w:lvlJc w:val="left"/>
      <w:pPr>
        <w:ind w:left="2880" w:hanging="360"/>
      </w:pPr>
    </w:lvl>
    <w:lvl w:ilvl="4">
      <w:start w:val="1"/>
      <w:numFmt w:val="bullet"/>
      <w:lvlText w:val="☐"/>
      <w:lvlJc w:val="left"/>
      <w:pPr>
        <w:ind w:left="3600" w:hanging="360"/>
      </w:pPr>
    </w:lvl>
    <w:lvl w:ilvl="5">
      <w:start w:val="1"/>
      <w:numFmt w:val="bullet"/>
      <w:lvlText w:val="☐"/>
      <w:lvlJc w:val="left"/>
      <w:pPr>
        <w:ind w:left="4320" w:hanging="360"/>
      </w:pPr>
    </w:lvl>
    <w:lvl w:ilvl="6">
      <w:start w:val="1"/>
      <w:numFmt w:val="bullet"/>
      <w:lvlText w:val="☐"/>
      <w:lvlJc w:val="left"/>
      <w:pPr>
        <w:ind w:left="5040" w:hanging="360"/>
      </w:pPr>
    </w:lvl>
    <w:lvl w:ilvl="7">
      <w:start w:val="1"/>
      <w:numFmt w:val="bullet"/>
      <w:lvlText w:val="☐"/>
      <w:lvlJc w:val="left"/>
      <w:pPr>
        <w:ind w:left="5760" w:hanging="360"/>
      </w:pPr>
    </w:lvl>
    <w:lvl w:ilvl="8">
      <w:start w:val="1"/>
      <w:numFmt w:val="bullet"/>
      <w:lvlText w:val="☐"/>
      <w:lvlJc w:val="left"/>
      <w:pPr>
        <w:ind w:left="6480" w:hanging="360"/>
      </w:pPr>
    </w:lvl>
  </w:abstractNum>
  <w:abstractNum w:abstractNumId="4">
    <w:multiLevelType w:val="hybridMultilevel"/>
    <w:lvl w:ilvl="0">
      <w:start w:val="1"/>
      <w:numFmt w:val="bullet"/>
      <w:lvlText w:val="☑"/>
      <w:lvlJc w:val="left"/>
      <w:pPr>
        <w:ind w:left="720" w:hanging="360"/>
      </w:pPr>
    </w:lvl>
    <w:lvl w:ilvl="1">
      <w:start w:val="1"/>
      <w:numFmt w:val="bullet"/>
      <w:lvlText w:val="☑"/>
      <w:lvlJc w:val="left"/>
      <w:pPr>
        <w:ind w:left="1440" w:hanging="360"/>
      </w:pPr>
    </w:lvl>
    <w:lvl w:ilvl="2">
      <w:start w:val="1"/>
      <w:numFmt w:val="bullet"/>
      <w:lvlText w:val="☑"/>
      <w:lvlJc w:val="left"/>
      <w:pPr>
        <w:ind w:left="2160" w:hanging="360"/>
      </w:pPr>
    </w:lvl>
    <w:lvl w:ilvl="3">
      <w:start w:val="1"/>
      <w:numFmt w:val="bullet"/>
      <w:lvlText w:val="☑"/>
      <w:lvlJc w:val="left"/>
      <w:pPr>
        <w:ind w:left="2880" w:hanging="360"/>
      </w:pPr>
    </w:lvl>
    <w:lvl w:ilvl="4">
      <w:start w:val="1"/>
      <w:numFmt w:val="bullet"/>
      <w:lvlText w:val="☑"/>
      <w:lvlJc w:val="left"/>
      <w:pPr>
        <w:ind w:left="3600" w:hanging="360"/>
      </w:pPr>
    </w:lvl>
    <w:lvl w:ilvl="5">
      <w:start w:val="1"/>
      <w:numFmt w:val="bullet"/>
      <w:lvlText w:val="☑"/>
      <w:lvlJc w:val="left"/>
      <w:pPr>
        <w:ind w:left="4320" w:hanging="360"/>
      </w:pPr>
    </w:lvl>
    <w:lvl w:ilvl="6">
      <w:start w:val="1"/>
      <w:numFmt w:val="bullet"/>
      <w:lvlText w:val="☑"/>
      <w:lvlJc w:val="left"/>
      <w:pPr>
        <w:ind w:left="5040" w:hanging="360"/>
      </w:pPr>
    </w:lvl>
    <w:lvl w:ilvl="7">
      <w:start w:val="1"/>
      <w:numFmt w:val="bullet"/>
      <w:lvlText w:val="☑"/>
      <w:lvlJc w:val="left"/>
      <w:pPr>
        <w:ind w:left="5760" w:hanging="360"/>
      </w:pPr>
    </w:lvl>
    <w:lvl w:ilvl="8">
      <w:start w:val="1"/>
      <w:numFmt w:val="bullet"/>
      <w:lvlText w:val="☑"/>
      <w:lvlJc w:val="left"/>
      <w:pPr>
        <w:ind w:left="6480" w:hanging="36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mbria" w:hAnsi="Cambria" w:cs="Cambria"/>
        <w:sz w:val="22"/>
        <w:szCs w:val="22"/>
        <w:lang w:val="en-US"/>
      </w:rPr>
    </w:rPrDefault>
    <w:pPrDefault>
      <w:pPr>
        <w:spacing w:after="160" w:line="312" w:lineRule="auto"/>
      </w:pPr>
    </w:pPrDefault>
  </w:docDefaults>
  <w:style w:type="paragraph" w:styleId="Normal" w:default="1">
    <w:name w:val="Normal"/>
  </w:style>
  <w:style w:type="paragraph" w:styleId="Heading1" w:default="0">
    <w:name w:val="heading 1"/>
    <w:basedOn w:val="Normal"/>
    <w:next w:val="Normal"/>
    <w:pPr>
      <w:keepNext/>
      <w:keepLines/>
      <w:spacing w:before="320" w:line="264" w:lineRule="auto"/>
      <w:outlineLvl w:val="0"/>
    </w:pPr>
    <w:rPr>
      <w:rFonts w:ascii="Cambria" w:hAnsi="Cambria"/>
      <w:b/>
      <w:color w:val="1A1A1A"/>
      <w:sz w:val="38"/>
      <w:szCs w:val="38"/>
    </w:rPr>
  </w:style>
  <w:style w:type="paragraph" w:styleId="Heading2" w:default="0">
    <w:name w:val="heading 2"/>
    <w:basedOn w:val="Normal"/>
    <w:next w:val="Normal"/>
    <w:pPr>
      <w:keepNext/>
      <w:keepLines/>
      <w:spacing w:before="320" w:line="264" w:lineRule="auto"/>
      <w:outlineLvl w:val="1"/>
    </w:pPr>
    <w:rPr>
      <w:rFonts w:ascii="Cambria" w:hAnsi="Cambria"/>
      <w:b/>
      <w:sz w:val="32"/>
      <w:szCs w:val="32"/>
    </w:rPr>
  </w:style>
  <w:style w:type="paragraph" w:styleId="Heading3" w:default="0">
    <w:name w:val="heading 3"/>
    <w:basedOn w:val="Normal"/>
    <w:next w:val="Normal"/>
    <w:pPr>
      <w:keepNext/>
      <w:keepLines/>
      <w:spacing w:before="160" w:line="264" w:lineRule="auto"/>
      <w:outlineLvl w:val="2"/>
    </w:pPr>
    <w:rPr>
      <w:rFonts w:ascii="Cambria" w:hAnsi="Cambria"/>
      <w:b/>
      <w:sz w:val="26"/>
      <w:szCs w:val="26"/>
    </w:rPr>
  </w:style>
  <w:style w:type="paragraph" w:styleId="Heading4" w:default="0">
    <w:name w:val="heading 4"/>
    <w:basedOn w:val="Normal"/>
    <w:next w:val="Normal"/>
    <w:pPr>
      <w:keepNext/>
      <w:keepLines/>
      <w:spacing w:before="160" w:line="264" w:lineRule="auto"/>
      <w:outlineLvl w:val="3"/>
    </w:pPr>
    <w:rPr>
      <w:rFonts w:ascii="Cambria" w:hAnsi="Cambria"/>
      <w:b/>
      <w:sz w:val="22"/>
      <w:szCs w:val="22"/>
    </w:rPr>
  </w:style>
  <w:style w:type="paragraph" w:styleId="Heading5" w:default="0">
    <w:name w:val="heading 5"/>
    <w:basedOn w:val="Normal"/>
    <w:next w:val="Normal"/>
    <w:pPr>
      <w:keepNext/>
      <w:keepLines/>
      <w:spacing w:before="160" w:line="264" w:lineRule="auto"/>
      <w:outlineLvl w:val="4"/>
    </w:pPr>
    <w:rPr>
      <w:rFonts w:ascii="Cambria" w:hAnsi="Cambria"/>
      <w:b/>
      <w:sz w:val="22"/>
      <w:szCs w:val="22"/>
    </w:rPr>
  </w:style>
  <w:style w:type="paragraph" w:styleId="Heading6" w:default="0">
    <w:name w:val="heading 6"/>
    <w:basedOn w:val="Normal"/>
    <w:next w:val="Normal"/>
    <w:pPr>
      <w:keepNext/>
      <w:keepLines/>
      <w:spacing w:before="160" w:line="264" w:lineRule="auto"/>
      <w:outlineLvl w:val="5"/>
    </w:pPr>
    <w:rPr>
      <w:rFonts w:ascii="Cambria" w:hAnsi="Cambria"/>
      <w:b/>
      <w:sz w:val="22"/>
      <w:szCs w:val="22"/>
    </w:rPr>
  </w:style>
  <w:style w:type="paragraph" w:styleId="Quote" w:default="0">
    <w:name w:val="Quote"/>
    <w:basedOn w:val="Normal"/>
    <w:pPr>
      <w:ind w:left="320"/>
      <w:pBdr>
        <w:left w:val="single" w:sz="24" w:space="12" w:color="BFBFBF"/>
      </w:pBdr>
    </w:pPr>
    <w:rPr>
      <w:i/>
      <w:color w:val="595959"/>
    </w:rPr>
  </w:style>
  <w:style w:type="character" w:styleId="CkHighlight">
    <w:name w:val="Clarkdown Highlight"/>
    <w:rPr>
      <w:shd w:val="clear" w:fill="FFF2A8"/>
    </w:rPr>
  </w:style>
  <w:style w:type="character" w:styleId="CkSmallcaps">
    <w:name w:val="Clarkdown Smallcaps"/>
    <w:rPr>
      <w:smallCaps/>
    </w:rPr>
  </w:style>
  <w:style w:type="character" w:styleId="CkUnderline">
    <w:name w:val="Clarkdown Underline"/>
    <w:rPr>
      <w:u w:val="single"/>
    </w:rPr>
  </w:style>
  <w:style w:type="character" w:styleId="CkMuted">
    <w:name w:val="Clarkdown Muted"/>
    <w:rPr>
      <w:color w:val="595959"/>
    </w:rPr>
  </w:style>
  <w:style w:type="character" w:styleId="CkAccent">
    <w:name w:val="Clarkdown Accent"/>
    <w:rPr>
      <w:color w:val="1A1A1A"/>
    </w:rPr>
  </w:style>
  <w:style w:type="character" w:styleId="CkCaption">
    <w:name w:val="Clarkdown Caption"/>
    <w:rPr>
      <w:i/>
      <w:color w:val="595959"/>
      <w:sz w:val="20"/>
      <w:szCs w:val="20"/>
    </w:rPr>
  </w:style>
  <w:style w:type="paragraph" w:styleId="CkDisplay" w:default="0">
    <w:name w:val="Clarkdown Display"/>
    <w:basedOn w:val="Normal"/>
    <w:next w:val="Normal"/>
    <w:pPr>
      <w:keepNext/>
      <w:keepLines/>
      <w:spacing w:after="240" w:line="264" w:lineRule="auto"/>
    </w:pPr>
    <w:rPr>
      <w:rFonts w:ascii="Cambria" w:hAnsi="Cambria"/>
      <w:b/>
      <w:color w:val="1A1A1A"/>
      <w:sz w:val="132"/>
      <w:szCs w:val="132"/>
    </w:rPr>
  </w:style>
  <w:style w:type="character" w:styleId="CkKicker">
    <w:name w:val="Clarkdown Kicker"/>
    <w:rPr>
      <w:smallCaps/>
      <w:spacing w:val="18"/>
      <w:color w:val="595959"/>
    </w:rPr>
  </w:style>
  <w:style w:type="paragraph" w:styleId="CkTrackedCaps" w:default="0">
    <w:name w:val="Clarkdown Tracked Caps"/>
    <w:basedOn w:val="Normal"/>
    <w:next w:val="Normal"/>
    <w:rPr>
      <w:smallCaps/>
      <w:spacing w:val="18"/>
    </w:rPr>
  </w:style>
  <w:style w:type="paragraph" w:styleId="Title" w:default="0">
    <w:name w:val="Title"/>
    <w:basedOn w:val="Normal"/>
    <w:next w:val="Normal"/>
    <w:pPr>
      <w:keepNext/>
      <w:keepLines/>
      <w:spacing w:after="240" w:line="264" w:lineRule="auto"/>
    </w:pPr>
    <w:rPr>
      <w:rFonts w:ascii="Cambria" w:hAnsi="Cambria"/>
      <w:b/>
      <w:sz w:val="46"/>
      <w:szCs w:val="46"/>
    </w:rPr>
  </w:style>
  <w:style w:type="character" w:styleId="Hyperlink">
    <w:name w:val="Hyperlink"/>
    <w:rPr>
      <w:color w:val="1A1A1A"/>
      <w:u w:val="single"/>
    </w:rPr>
  </w:style>
  <w:style w:type="paragraph" w:styleId="CkCodeBlock" w:default="0">
    <w:name w:val="Clarkdown Code Block"/>
    <w:basedOn w:val="Normal"/>
    <w:pPr>
      <w:shd w:val="clear" w:fill="EDEDED"/>
      <w:spacing w:after="0" w:line="240" w:lineRule="auto"/>
    </w:pPr>
    <w:rPr>
      <w:rFonts w:ascii="Consolas" w:hAnsi="Consolas"/>
      <w:noProof/>
      <w:sz w:val="20"/>
    </w:rPr>
  </w:style>
  <w:style w:type="character" w:styleId="CkCode">
    <w:name w:val="Clarkdown Code"/>
    <w:rPr>
      <w:rFonts w:ascii="Consolas" w:hAnsi="Consolas"/>
      <w:shd w:val="clear" w:fill="EDEDED"/>
      <w:sz w:val="20"/>
    </w:rPr>
  </w:style>
  <w:style w:type="paragraph" w:styleId="Caption" w:default="0">
    <w:name w:val="caption"/>
    <w:basedOn w:val="Normal"/>
    <w:rPr>
      <w:i/>
      <w:sz w:val="18"/>
    </w:rPr>
  </w:style>
  <w:style w:type="paragraph" w:styleId="ListParagraph" w:default="0">
    <w:name w:val="List Paragraph"/>
    <w:basedOn w:val="Normal"/>
    <w:pPr>
      <w:ind w:left="320"/>
    </w:pPr>
  </w:style>
  <w:style w:type="paragraph" w:styleId="CkUnknown" w:default="0">
    <w:name w:val="Clarkdown Unknown"/>
    <w:basedOn w:val="Normal"/>
    <w:pPr>
      <w:shd w:val="clear" w:fill="FFEEEE"/>
    </w:pPr>
  </w:style>
  <w:style w:type="paragraph" w:styleId="FootnoteText" w:default="0">
    <w:name w:val="footnote text"/>
    <w:basedOn w:val="Normal"/>
    <w:rPr>
      <w:sz w:val="18"/>
    </w:rPr>
  </w:style>
  <w:style w:type="character" w:styleId="FootnoteReference">
    <w:name w:val="footnote reference"/>
    <w:rPr>
      <w:vertAlign w:val="superscript"/>
    </w:rPr>
  </w:style>
  <w:style w:type="table" w:styleId="CkTable">
    <w:name w:val="Clarkdown Table"/>
    <w:tblPr>
      <w:tblBorders>
        <w:top w:val="single" w:sz="4" w:color="BFBFBF"/>
        <w:left w:val="single" w:sz="4" w:color="BFBFBF"/>
        <w:bottom w:val="single" w:sz="4" w:color="BFBFBF"/>
        <w:right w:val="single" w:sz="4" w:color="BFBFBF"/>
        <w:insideH w:val="single" w:sz="4" w:color="BFBFBF"/>
        <w:insideV w:val="single" w:sz="4" w:color="BFBFBF"/>
      </w:tblBorders>
      <w:tblCellMar>
        <w:top w:w="80" w:type="dxa"/>
        <w:left w:w="80" w:type="dxa"/>
        <w:bottom w:w="80" w:type="dxa"/>
        <w:right w:w="80" w:type="dxa"/>
      </w:tblCellMar>
    </w:tblPr>
  </w:style>
  <w:style w:type="table" w:styleId="CkLayout">
    <w:name w:val="Clarkdown Layout"/>
    <w:tblPr>
      <w:tblBorders>
        <w:top w:val="none"/>
        <w:left w:val="none"/>
        <w:bottom w:val="none"/>
        <w:right w:val="none"/>
        <w:insideH w:val="none"/>
        <w:insideV w:val="none"/>
      </w:tblBorders>
    </w:tblPr>
  </w:style>
  <w:style w:type="paragraph" w:styleId="CkNote" w:default="0">
    <w:name w:val="Clarkdown Note"/>
    <w:basedOn w:val="Normal"/>
    <w:pPr>
      <w:pBdr>
        <w:left w:val="single" w:sz="24" w:space="8" w:color="2F6FEB"/>
      </w:pBdr>
      <w:ind w:left="240"/>
    </w:pPr>
  </w:style>
  <w:style w:type="paragraph" w:styleId="CkTip" w:default="0">
    <w:name w:val="Clarkdown Tip"/>
    <w:basedOn w:val="Normal"/>
    <w:pPr>
      <w:pBdr>
        <w:left w:val="single" w:sz="24" w:space="8" w:color="1A7F37"/>
      </w:pBdr>
      <w:ind w:left="240"/>
    </w:pPr>
  </w:style>
  <w:style w:type="paragraph" w:styleId="CkWarning" w:default="0">
    <w:name w:val="Clarkdown Warning"/>
    <w:basedOn w:val="Normal"/>
    <w:pPr>
      <w:pBdr>
        <w:left w:val="single" w:sz="24" w:space="8" w:color="9A6700"/>
      </w:pBdr>
      <w:ind w:left="240"/>
    </w:pPr>
  </w:style>
  <w:style w:type="paragraph" w:styleId="CkImportant" w:default="0">
    <w:name w:val="Clarkdown Important"/>
    <w:basedOn w:val="Normal"/>
    <w:pPr>
      <w:pBdr>
        <w:left w:val="single" w:sz="24" w:space="8" w:color="8250DF"/>
      </w:pBdr>
      <w:ind w:left="240"/>
    </w:pPr>
  </w:style>
  <w:style w:type="paragraph" w:styleId="CkCaution" w:default="0">
    <w:name w:val="Clarkdown Caution"/>
    <w:basedOn w:val="Normal"/>
    <w:pPr>
      <w:pBdr>
        <w:left w:val="single" w:sz="24" w:space="8" w:color="CF222E"/>
      </w:pBdr>
      <w:ind w:left="240"/>
    </w:p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Numbering" Type="http://schemas.openxmlformats.org/officeDocument/2006/relationships/numbering" Target="numbering.xml"/><Relationship Id="rIdFonts" Type="http://schemas.openxmlformats.org/officeDocument/2006/relationships/fontTable" Target="fontTable.xml"/><Relationship Id="rIdSettings" Type="http://schemas.openxmlformats.org/officeDocument/2006/relationships/settings" Target="settings.xml"/><Relationship Id="rIdHf1" Type="http://schemas.openxmlformats.org/officeDocument/2006/relationships/footer" Target="footer1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rkdownFrontMatter">
    <vt:lpwstr>{"kv":{"theme":"serif"},"v":1}</vt:lpwstr>
  </property>
</Properties>
</file>