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footer2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Core" Type="http://schemas.openxmlformats.org/package/2006/relationships/metadata/core-properties" Target="docProps/core.xml"/><Relationship Id="rIdCustom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m="http://schemas.openxmlformats.org/officeDocument/2006/math" xmlns:mc="http://schemas.openxmlformats.org/markup-compatibility/2006" xmlns:ck="urn:clarkdown:docx" mc:Ignorable="ck">
  <w:body>
    <w:p>
      <w:pPr>
        <w:pStyle w:val="Title"/>
        <ck:id v="section"/>
      </w:pPr>
      <w:bookmarkStart w:id="11" w:name="section"/>
      <w:r>
        <w:t>БИЗНЕС-ПЛАН: ЗДРАВООХРАНЕНИЕ И СОЦИАЛЬНЫЕ УСЛУГИ</w:t>
      </w:r>
      <w:bookmarkEnd w:id="11"/>
    </w:p>
    <w:p>
      <w:r>
        <w:rPr>
          <w:rStyle w:val="CkMuted"/>
        </w:rPr>
        <w:t>Пример: частный медицинский центр</w:t>
      </w:r>
    </w:p>
    <w:p>
      <w:r>
        <w:t>Название проекта: [впишите]</w:t>
      </w:r>
      <w:r>
        <w:br/>
      </w:r>
      <w:r>
        <w:t>Автор / компания: [впишите]</w:t>
      </w:r>
      <w:r>
        <w:br/>
      </w:r>
      <w:r>
        <w:t>Регион реализации: [впишите]</w:t>
      </w:r>
      <w:r>
        <w:br/>
      </w:r>
      <w:r>
        <w:t>Требуемая сумма инвестиций, сум: [впишите]</w:t>
      </w:r>
      <w:r>
        <w:br/>
      </w:r>
      <w:r>
        <w:t>Дата: [впишите]</w:t>
      </w:r>
    </w:p>
    <w:p>
      <w:r>
        <w:rPr>
          <w:i/>
        </w:rPr>
        <w:t>Это готовый образец (шаблон) бизнес-плана MoliyaHub для отрасли «Здравоохранение и социальные услуги». Замените текст в квадратных скобках [впишите] и примеры на данные вашего проекта, добавьте или удалите пункты по необходимости. Абзацы в рамке, отмеченные «ПРИМЕР», и раздел «Пример финансового расчёта» — иллюстрация формата и порядка величины на основе рыночных ориентиров 2025-2026 года, а не факты и не финансовая отчётность о реальной компании: перед подачей в банк или инвестору замените их на данные своего проекта. Тот же расчёт с рабочими формулами (SUM, прибыль, срок окупаемости, рентабельность), которые пересчитываются автоматически, — в отдельном Excel-файле с тем же названием, который дополняет этот документ.</w:t>
      </w:r>
    </w:p>
    <w:p>
      <w:pPr>
        <w:pStyle w:val="Heading2"/>
        <ck:id v="resume"/>
      </w:pPr>
      <w:bookmarkStart w:id="12" w:name="resume"/>
      <w:r>
        <w:t>Резюме проекта</w:t>
      </w:r>
      <w:bookmarkEnd w:id="12"/>
    </w:p>
    <w:sdt>
      <w:sdtPr>
        <w:tag w:val="clarkdown:div"/>
        <ck:div v="|panel|"/>
      </w:sdtPr>
      <w:sdtContent>
        <w:tbl>
          <w:tblPr>
            <w:tblW w:w="5000" w:type="pct"/>
            <w:tblBorders>
              <w:top w:val="none"/>
              <w:left w:val="none"/>
              <w:bottom w:val="none"/>
              <w:right w:val="none"/>
              <w:insideH w:val="none"/>
              <w:insideV w:val="none"/>
            </w:tblBorders>
            <w:tblCellMar>
              <w:top w:w="320" w:type="dxa"/>
              <w:left w:w="240" w:type="dxa"/>
              <w:bottom w:w="320" w:type="dxa"/>
              <w:right w:w="240" w:type="dxa"/>
            </w:tblCellMar>
          </w:tblPr>
          <w:tblGrid>
            <w:gridCol/>
          </w:tblGrid>
          <w:tr>
            <w:tc>
              <w:tcPr>
                <w:shd w:val="clear" w:fill="E4E4E4"/>
              </w:tcPr>
              <w:p>
                <w:r>
                  <w:rPr>
                    <w:rStyle w:val="CkKicker"/>
                  </w:rPr>
                  <w:t>ПРИМЕР</w:t>
                </w:r>
              </w:p>
              <w:p>
                <w:r>
                  <w:t>Медицинский центр «Salomatlik Plus» открывает многопрофильную поликлинику с УЗИ-диагностикой в растущем спальном районе Ташкента. Требуемые инвестиции — 2,4 млрд сум на оборудование и ремонт помещения под медицинские стандарты; окупаемость — около 30 месяцев при выходе на 40 приёмов в день.</w:t>
                </w:r>
              </w:p>
            </w:tc>
          </w:tr>
        </w:tbl>
      </w:sdtContent>
    </w:sdt>
    <w:p>
      <w:r>
        <w:t>[Впишите] В 5-8 предложениях: суть проекта, какую проблему решает, для кого, требуемая сумма инвестиций и на что она пойдёт, ожидаемый результат (выручка/прибыль/срок окупаемости).</w:t>
      </w:r>
    </w:p>
    <w:p>
      <w:pPr>
        <w:pStyle w:val="Heading2"/>
        <ck:id v="company"/>
      </w:pPr>
      <w:bookmarkStart w:id="13" w:name="company"/>
      <w:r>
        <w:t>Описание компании / проекта</w:t>
      </w:r>
      <w:bookmarkEnd w:id="13"/>
    </w:p>
    <w:p>
      <w:r>
        <w:t>[Впишите] Организационно-правовая форма (ИП/ООО/фермерское хозяйство), команда, текущий статус проекта (идея / MVP / действующий бизнес), уникальное торговое предложение.</w:t>
      </w:r>
    </w:p>
    <w:p>
      <w:pPr>
        <w:pStyle w:val="Heading2"/>
        <ck:id v="market"/>
      </w:pPr>
      <w:bookmarkStart w:id="14" w:name="market"/>
      <w:r>
        <w:t>Анализ рынка: Здравоохранение и социальные услуги</w:t>
      </w:r>
      <w:bookmarkEnd w:id="14"/>
    </w:p>
    <w:p>
      <w:pPr>
        <w:pStyle w:val="ListParagraph"/>
        <w:numPr>
          <w:ilvl w:val="0"/>
          <w:numId w:val="11"/>
        </w:numPr>
      </w:pPr>
      <w:r>
        <w:t>Растёт спрос на качественные платные медицинские услуги: по данным Upl.uz со ссылкой на официальную статистику, за январь–август 2025 года объём рынка платных медицинских услуг Узбекистана составил 12,7 трлн сум с ростом на 12,6% год к году (upl.uz).</w:t>
      </w:r>
    </w:p>
    <w:p>
      <w:pPr>
        <w:pStyle w:val="ListParagraph"/>
        <w:numPr>
          <w:ilvl w:val="0"/>
          <w:numId w:val="11"/>
        </w:numPr>
      </w:pPr>
      <w:r>
        <w:t>Рынок сильно централизован в столице: на Ташкент пришлось около половины всего объёма (5,9 трлн сум), далее — Ташкентская область (1,3 трлн сум) и Самаркандская область (938,4 млрд сум); наименьшие объёмы — в Навоийской, Сырдарьинской областях и Каракалпакстане (upl.uz) — в менее насыщенных регионах конкуренция ниже, но и платёжеспособный спрос меньше.</w:t>
      </w:r>
    </w:p>
    <w:p>
      <w:pPr>
        <w:pStyle w:val="ListParagraph"/>
        <w:numPr>
          <w:ilvl w:val="0"/>
          <w:numId w:val="11"/>
        </w:numPr>
      </w:pPr>
      <w:r>
        <w:t>Число частных медицинских учреждений в стране продолжает расти год к году (по данным Госкомстата) — сектор активно переходит от единичных кабинетов к сетевым многопрофильным клиникам.</w:t>
      </w:r>
    </w:p>
    <w:p>
      <w:pPr>
        <w:pStyle w:val="ListParagraph"/>
        <w:numPr>
          <w:ilvl w:val="0"/>
          <w:numId w:val="11"/>
        </w:numPr>
      </w:pPr>
      <w:r>
        <w:t>Развивается медицинский туризм из соседних стран для отдельных видов услуг (стоматология, пластическая хирургия, отдельные виды диагностики) — но эта ниша требует международной сертификации и маркетинга за пределами Узбекистана.</w:t>
      </w:r>
    </w:p>
    <w:p>
      <w:pPr>
        <w:pStyle w:val="ListParagraph"/>
        <w:numPr>
          <w:ilvl w:val="0"/>
          <w:numId w:val="11"/>
        </w:numPr>
      </w:pPr>
      <w:r>
        <w:t>Медицинская деятельность подлежит обязательному лицензированию Министерством здравоохранения — сроки и требования лицензирования стоит закладывать в план запуска заранее, это не быстрый процесс.</w:t>
      </w:r>
    </w:p>
    <w:p>
      <w:pPr>
        <w:pStyle w:val="ListParagraph"/>
        <w:numPr>
          <w:ilvl w:val="0"/>
          <w:numId w:val="11"/>
        </w:numPr>
      </w:pPr>
      <w:r>
        <w:t>Для сравнения: в Казахстане и России частная медицина более консолидирована в сетевые бренды с развитой страховой моделью оплаты — в Узбекистане доля оплаты услуг напрямую пациентом (а не через страховку) всё ещё выше, что делает ценовую доступность более значимым фактором выбора клиники для пациента.</w:t>
      </w:r>
    </w:p>
    <w:p>
      <w:pPr>
        <w:pStyle w:val="ListParagraph"/>
        <w:numPr>
          <w:ilvl w:val="0"/>
          <w:numId w:val="11"/>
        </w:numPr>
      </w:pPr>
      <w:r>
        <w:t>[Впишите] Специализацию центра, конкурентов и их загрузку в вашем регионе — уточняйте по данным местного управления здравоохранения и отзывам пациентов.</w:t>
      </w:r>
    </w:p>
    <w:p>
      <w:pPr>
        <w:pStyle w:val="Heading3"/>
        <ck:id v="section-1"/>
      </w:pPr>
      <w:bookmarkStart w:id="15" w:name="section_1"/>
      <w:r>
        <w:t>Конкуренты</w:t>
      </w:r>
      <w:bookmarkEnd w:id="15"/>
    </w:p>
    <w:p>
      <w:r>
        <w:t>[Впишите] Список из 3-5 прямых конкурентов, их сильные и слабые стороны, чем вы отличаетесь.</w:t>
      </w:r>
    </w:p>
    <w:p>
      <w:pPr>
        <w:pStyle w:val="Heading3"/>
        <ck:id v="section-2"/>
      </w:pPr>
      <w:bookmarkStart w:id="16" w:name="section_2"/>
      <w:r>
        <w:t>Целевая аудитория</w:t>
      </w:r>
      <w:bookmarkEnd w:id="16"/>
    </w:p>
    <w:p>
      <w:r>
        <w:t>[Впишите] Портрет основного клиента: кто он, что для него важно при выборе, где его найти.</w:t>
      </w:r>
    </w:p>
    <w:p>
      <w:pPr>
        <w:pStyle w:val="Heading2"/>
        <ck:id v="marketing"/>
      </w:pPr>
      <w:bookmarkStart w:id="17" w:name="marketing"/>
      <w:r>
        <w:t>Маркетинговый план</w:t>
      </w:r>
      <w:bookmarkEnd w:id="17"/>
    </w:p>
    <w:sdt>
      <w:sdtPr>
        <w:tag w:val="clarkdown:div"/>
        <ck:div v="|panel|"/>
      </w:sdtPr>
      <w:sdtContent>
        <w:tbl>
          <w:tblPr>
            <w:tblW w:w="5000" w:type="pct"/>
            <w:tblBorders>
              <w:top w:val="none"/>
              <w:left w:val="none"/>
              <w:bottom w:val="none"/>
              <w:right w:val="none"/>
              <w:insideH w:val="none"/>
              <w:insideV w:val="none"/>
            </w:tblBorders>
            <w:tblCellMar>
              <w:top w:w="320" w:type="dxa"/>
              <w:left w:w="240" w:type="dxa"/>
              <w:bottom w:w="320" w:type="dxa"/>
              <w:right w:w="240" w:type="dxa"/>
            </w:tblCellMar>
          </w:tblPr>
          <w:tblGrid>
            <w:gridCol/>
          </w:tblGrid>
          <w:tr>
            <w:tc>
              <w:tcPr>
                <w:shd w:val="clear" w:fill="E4E4E4"/>
              </w:tcPr>
              <w:p>
                <w:r>
                  <w:rPr>
                    <w:rStyle w:val="CkKicker"/>
                  </w:rPr>
                  <w:t>ПРИМЕР</w:t>
                </w:r>
              </w:p>
              <w:p>
                <w:r>
                  <w:t>Цена — среднерыночная для сегмента с прозрачным прайс-листом на сайте; продвижение — партнёрство с работодателями района на корпоративные программы чек-апов, отзывы пациентов на агрегаторах, контент о профилактике в соцсетях для формирования доверия к центру.</w:t>
                </w:r>
              </w:p>
            </w:tc>
          </w:tr>
        </w:tbl>
      </w:sdtContent>
    </w:sdt>
    <w:p>
      <w:r>
        <w:t>[Впишите] Ценообразование, каналы продвижения и продаж, план привлечения первых клиентов.</w:t>
      </w:r>
    </w:p>
    <w:p>
      <w:pPr>
        <w:pStyle w:val="Heading2"/>
        <ck:id v="operations"/>
      </w:pPr>
      <w:bookmarkStart w:id="18" w:name="operations"/>
      <w:r>
        <w:t>Операционный план</w:t>
      </w:r>
      <w:bookmarkEnd w:id="18"/>
    </w:p>
    <w:sdt>
      <w:sdtPr>
        <w:tag w:val="clarkdown:div"/>
        <ck:div v="|panel|"/>
      </w:sdtPr>
      <w:sdtContent>
        <w:tbl>
          <w:tblPr>
            <w:tblW w:w="5000" w:type="pct"/>
            <w:tblBorders>
              <w:top w:val="none"/>
              <w:left w:val="none"/>
              <w:bottom w:val="none"/>
              <w:right w:val="none"/>
              <w:insideH w:val="none"/>
              <w:insideV w:val="none"/>
            </w:tblBorders>
            <w:tblCellMar>
              <w:top w:w="320" w:type="dxa"/>
              <w:left w:w="240" w:type="dxa"/>
              <w:bottom w:w="320" w:type="dxa"/>
              <w:right w:w="240" w:type="dxa"/>
            </w:tblCellMar>
          </w:tblPr>
          <w:tblGrid>
            <w:gridCol/>
          </w:tblGrid>
          <w:tr>
            <w:tc>
              <w:tcPr>
                <w:shd w:val="clear" w:fill="E4E4E4"/>
              </w:tcPr>
              <w:p>
                <w:r>
                  <w:rPr>
                    <w:rStyle w:val="CkKicker"/>
                  </w:rPr>
                  <w:t>ПРИМЕР</w:t>
                </w:r>
              </w:p>
              <w:p>
                <w:r>
                  <w:t>Цикл: запись пациента → приём/консультация → при необходимости диагностика на месте → назначение и, при необходимости, повторный приём → ведение медицинской карты. Требуется лицензирование Минздрава на каждый вид медицинской деятельности и наём персонала с действующими сертификатами.</w:t>
                </w:r>
              </w:p>
            </w:tc>
          </w:tr>
        </w:tbl>
      </w:sdtContent>
    </w:sdt>
    <w:p>
      <w:r>
        <w:t>[Впишите] Процесс производства/оказания услуги, ключевые поставщики, оборудование, необходимые лицензии и разрешения.</w:t>
      </w:r>
    </w:p>
    <w:p>
      <w:pPr>
        <w:pStyle w:val="Heading2"/>
        <ck:id v="org"/>
      </w:pPr>
      <w:bookmarkStart w:id="19" w:name="org"/>
      <w:r>
        <w:t>Организационный план</w:t>
      </w:r>
      <w:bookmarkEnd w:id="19"/>
    </w:p>
    <w:sdt>
      <w:sdtPr>
        <w:tag w:val="clarkdown:div"/>
        <ck:div v="|panel|"/>
      </w:sdtPr>
      <w:sdtContent>
        <w:tbl>
          <w:tblPr>
            <w:tblW w:w="5000" w:type="pct"/>
            <w:tblBorders>
              <w:top w:val="none"/>
              <w:left w:val="none"/>
              <w:bottom w:val="none"/>
              <w:right w:val="none"/>
              <w:insideH w:val="none"/>
              <w:insideV w:val="none"/>
            </w:tblBorders>
            <w:tblCellMar>
              <w:top w:w="320" w:type="dxa"/>
              <w:left w:w="240" w:type="dxa"/>
              <w:bottom w:w="320" w:type="dxa"/>
              <w:right w:w="240" w:type="dxa"/>
            </w:tblCellMar>
          </w:tblPr>
          <w:tblGrid>
            <w:gridCol/>
          </w:tblGrid>
          <w:tr>
            <w:tc>
              <w:tcPr>
                <w:shd w:val="clear" w:fill="E4E4E4"/>
              </w:tcPr>
              <w:p>
                <w:r>
                  <w:rPr>
                    <w:rStyle w:val="CkKicker"/>
                  </w:rPr>
                  <w:t>ПРИМЕР</w:t>
                </w:r>
              </w:p>
              <w:p>
                <w:r>
                  <w:t>Главный врач-совладелец, 4 врача разных специализаций, 2 медсестры, администратор ресепшена, бухгалтер на аутсорсе. Форма — ООО с лицензией на медицинскую деятельность.</w:t>
                </w:r>
              </w:p>
            </w:tc>
          </w:tr>
        </w:tbl>
      </w:sdtContent>
    </w:sdt>
    <w:p>
      <w:r>
        <w:t>[Впишите] Команда и роли, штатное расписание, организационно-правовая форма.</w:t>
      </w:r>
    </w:p>
    <w:p>
      <w:pPr>
        <w:pStyle w:val="Heading2"/>
        <ck:id v="financial-example"/>
      </w:pPr>
      <w:bookmarkStart w:id="20" w:name="financial_example"/>
      <w:r>
        <w:t>Пример финансового расчёта</w:t>
      </w:r>
      <w:bookmarkEnd w:id="20"/>
    </w:p>
    <w:p>
      <w:r>
        <w:rPr>
          <w:rStyle w:val="CkCaption"/>
          <w:i/>
        </w:rPr>
        <w:t>Ниже — полностью посчитанный пример для иллюстративной компании из резюме, на основе рыночных ориентиров 2025-2026 года (аренда, зарплаты, цены на оборудование, налоги, ставки — со ссылкой на источник там, где он известен) и экспертных оценок порядка величины там, где точных данных нет (это отмечено в комментариях). Он показывает логику расчёта и реалистичный масштаб цифр — это не финансовая отчётность и не готовая заявка на кредит. Тот же расчёт с рабочими формулами — в Excel-файле с тем же названием; замените суммы там на данные своего проекта, и всё пересчитается автоматически.</w:t>
      </w:r>
    </w:p>
    <w:p>
      <w:r>
        <w:rPr>
          <w:b/>
        </w:rPr>
        <w:t>Стартовые затраты (единоразово)</w:t>
      </w:r>
    </w:p>
    <w:tbl>
      <w:tblPr>
        <w:tblStyle w:val="CkTable"/>
        <w:tblW w:w="0" w:type="auto"/>
        <w:tblLayout w:type="autofit"/>
        <w:tblLook w:firstRow="1" w:lastRow="0" w:firstColumn="0" w:lastColumn="0" w:noHBand="0" w:noVBand="1"/>
      </w:tblPr>
      <w:tblGrid>
        <w:gridCol/>
        <w:gridCol/>
        <w:gridCol/>
      </w:tblGrid>
      <w:tr>
        <w:trPr>
          <w:tblHeader/>
        </w:trPr>
        <w:tc>
          <w:tcPr/>
          <w:p>
            <w:r>
              <w:rPr>
                <w:b/>
              </w:rPr>
              <w:t>Статья</w:t>
            </w:r>
          </w:p>
        </w:tc>
        <w:tc>
          <w:tcPr/>
          <w:p>
            <w:r>
              <w:rPr>
                <w:b/>
              </w:rPr>
              <w:t>Сумма, сум</w:t>
            </w:r>
          </w:p>
        </w:tc>
        <w:tc>
          <w:tcPr/>
          <w:p>
            <w:r>
              <w:rPr>
                <w:b/>
              </w:rPr>
              <w:t>Комментарий</w:t>
            </w:r>
          </w:p>
        </w:tc>
      </w:tr>
      <w:tr>
        <w:tc>
          <w:tcPr/>
          <w:p>
            <w:r>
              <w:t>Ремонт и оснащение помещения под мед. стандарты</w:t>
            </w:r>
          </w:p>
        </w:tc>
        <w:tc>
          <w:tcPr/>
          <w:p>
            <w:r>
              <w:t>850 000 000</w:t>
            </w:r>
          </w:p>
        </w:tc>
        <w:tc>
          <w:tcPr/>
          <w:p>
            <w:r>
              <w:t>оценка: ~550 м² в спальном районе Ташкента, капремонт под сан.-эпид. нормы (вентиляция, спецпокрытия, электрика)</w:t>
            </w:r>
          </w:p>
        </w:tc>
      </w:tr>
      <w:tr>
        <w:tc>
          <w:tcPr/>
          <w:p>
            <w:r>
              <w:t>Медицинское оборудование</w:t>
            </w:r>
          </w:p>
        </w:tc>
        <w:tc>
          <w:tcPr/>
          <w:p>
            <w:r>
              <w:t>900 000 000</w:t>
            </w:r>
          </w:p>
        </w:tc>
        <w:tc>
          <w:tcPr/>
          <w:p>
            <w:r>
              <w:t>оценка: УЗИ-аппарат среднего/экспертного класса (Mindray/SonoScape) ~320-380 млн сум (~25-30 тыс. долл.) + ЭКГ, экспресс-лаборатория, мебель 4 кабинетов — по ценам дилеров СНГ</w:t>
            </w:r>
          </w:p>
        </w:tc>
      </w:tr>
      <w:tr>
        <w:tc>
          <w:tcPr/>
          <w:p>
            <w:r>
              <w:t>Лицензирование медицинской деятельности</w:t>
            </w:r>
          </w:p>
        </w:tc>
        <w:tc>
          <w:tcPr/>
          <w:p>
            <w:r>
              <w:t>60 000 000</w:t>
            </w:r>
          </w:p>
        </w:tc>
        <w:tc>
          <w:tcPr/>
          <w:p>
            <w:r>
              <w:t>оценка: госпошлины, сан.-эпид. экспертиза, лицензия Минздрава, аккредитация специалистов</w:t>
            </w:r>
          </w:p>
        </w:tc>
      </w:tr>
      <w:tr>
        <w:tc>
          <w:tcPr/>
          <w:p>
            <w:r>
              <w:t>Найм квалифицированного персонала</w:t>
            </w:r>
          </w:p>
        </w:tc>
        <w:tc>
          <w:tcPr/>
          <w:p>
            <w:r>
              <w:t>400 000 000</w:t>
            </w:r>
          </w:p>
        </w:tc>
        <w:tc>
          <w:tcPr/>
          <w:p>
            <w:r>
              <w:t>буферный ФОТ на период запуска до плановой загрузки — оценка: подбор, обучение и аттестация персонала</w:t>
            </w:r>
          </w:p>
        </w:tc>
      </w:tr>
      <w:tr>
        <w:tc>
          <w:tcPr/>
          <w:p>
            <w:r>
              <w:t>IT-система учёта пациентов</w:t>
            </w:r>
          </w:p>
        </w:tc>
        <w:tc>
          <w:tcPr/>
          <w:p>
            <w:r>
              <w:t>90 000 000</w:t>
            </w:r>
          </w:p>
        </w:tc>
        <w:tc>
          <w:tcPr/>
          <w:p>
            <w:r>
              <w:t>оценка: медицинская информационная система (МИС), компьютеры на ресепшене и в кабинетах</w:t>
            </w:r>
          </w:p>
        </w:tc>
      </w:tr>
      <w:tr>
        <w:tc>
          <w:tcPr/>
          <w:p>
            <w:r>
              <w:t>Страхование профессиональной ответственности</w:t>
            </w:r>
          </w:p>
        </w:tc>
        <w:tc>
          <w:tcPr/>
          <w:p>
            <w:r>
              <w:t>100 000 000</w:t>
            </w:r>
          </w:p>
        </w:tc>
        <w:tc>
          <w:tcPr/>
          <w:p>
            <w:r>
              <w:t>годовая премия, уплаченная авансом при запуске — оценка</w:t>
            </w:r>
          </w:p>
        </w:tc>
      </w:tr>
      <w:tr>
        <w:tc>
          <w:tcPr/>
          <w:p>
            <w:r>
              <w:rPr>
                <w:b/>
              </w:rPr>
              <w:t>Итого стартовые затраты</w:t>
            </w:r>
          </w:p>
        </w:tc>
        <w:tc>
          <w:tcPr/>
          <w:p>
            <w:r>
              <w:rPr>
                <w:b/>
              </w:rPr>
              <w:t>2 400 000 000</w:t>
            </w:r>
          </w:p>
        </w:tc>
        <w:tc>
          <w:tcPr/>
          <w:p/>
        </w:tc>
      </w:tr>
    </w:tbl>
    <w:p>
      <w:r>
        <w:rPr>
          <w:b/>
        </w:rPr>
        <w:t>Ежемесячная выручка</w:t>
      </w:r>
    </w:p>
    <w:tbl>
      <w:tblPr>
        <w:tblStyle w:val="CkTable"/>
        <w:tblW w:w="0" w:type="auto"/>
        <w:tblLayout w:type="autofit"/>
        <w:tblLook w:firstRow="1" w:lastRow="0" w:firstColumn="0" w:lastColumn="0" w:noHBand="0" w:noVBand="1"/>
      </w:tblPr>
      <w:tblGrid>
        <w:gridCol/>
        <w:gridCol/>
        <w:gridCol/>
      </w:tblGrid>
      <w:tr>
        <w:trPr>
          <w:tblHeader/>
        </w:trPr>
        <w:tc>
          <w:tcPr/>
          <w:p>
            <w:r>
              <w:rPr>
                <w:b/>
              </w:rPr>
              <w:t>Статья</w:t>
            </w:r>
          </w:p>
        </w:tc>
        <w:tc>
          <w:tcPr/>
          <w:p>
            <w:r>
              <w:rPr>
                <w:b/>
              </w:rPr>
              <w:t>Сумма, сум</w:t>
            </w:r>
          </w:p>
        </w:tc>
        <w:tc>
          <w:tcPr/>
          <w:p>
            <w:r>
              <w:rPr>
                <w:b/>
              </w:rPr>
              <w:t>Комментарий</w:t>
            </w:r>
          </w:p>
        </w:tc>
      </w:tr>
      <w:tr>
        <w:tc>
          <w:tcPr/>
          <w:p>
            <w:r>
              <w:t>Приём и консультации</w:t>
            </w:r>
          </w:p>
        </w:tc>
        <w:tc>
          <w:tcPr/>
          <w:p>
            <w:r>
              <w:t>126 000 000</w:t>
            </w:r>
          </w:p>
        </w:tc>
        <w:tc>
          <w:tcPr/>
          <w:p>
            <w:r>
              <w:t>~700 приёмов/мес (из ~1040 при 40/день, 26 раб. дн.) × ~180 тыс. сум — на основе прайс-листа частных клиник Ташкента</w:t>
            </w:r>
          </w:p>
        </w:tc>
      </w:tr>
      <w:tr>
        <w:tc>
          <w:tcPr/>
          <w:p>
            <w:r>
              <w:t>Диагностические услуги</w:t>
            </w:r>
          </w:p>
        </w:tc>
        <w:tc>
          <w:tcPr/>
          <w:p>
            <w:r>
              <w:t>51 000 000</w:t>
            </w:r>
          </w:p>
        </w:tc>
        <w:tc>
          <w:tcPr/>
          <w:p>
            <w:r>
              <w:t>~320 процедур/мес × ~160 тыс. сум — УЗИ брюшной полости 280 тыс., УЗИ органов 120-150 тыс., по прайс-листам частных клиник</w:t>
            </w:r>
          </w:p>
        </w:tc>
      </w:tr>
      <w:tr>
        <w:tc>
          <w:tcPr/>
          <w:p>
            <w:r>
              <w:t>Программы / абонементы</w:t>
            </w:r>
          </w:p>
        </w:tc>
        <w:tc>
          <w:tcPr/>
          <w:p>
            <w:r>
              <w:t>60 000 000</w:t>
            </w:r>
          </w:p>
        </w:tc>
        <w:tc>
          <w:tcPr/>
          <w:p>
            <w:r>
              <w:t>оценка: комплексные чек-апы и годовые программы диспансерного наблюдения</w:t>
            </w:r>
          </w:p>
        </w:tc>
      </w:tr>
      <w:tr>
        <w:tc>
          <w:tcPr/>
          <w:p>
            <w:r>
              <w:t>Корпоративные программы для работодателей</w:t>
            </w:r>
          </w:p>
        </w:tc>
        <w:tc>
          <w:tcPr/>
          <w:p>
            <w:r>
              <w:t>48 000 000</w:t>
            </w:r>
          </w:p>
        </w:tc>
        <w:tc>
          <w:tcPr/>
          <w:p>
            <w:r>
              <w:t>периодические медосмотры сотрудников — оценка: 2-3 контракта с компаниями</w:t>
            </w:r>
          </w:p>
        </w:tc>
      </w:tr>
      <w:tr>
        <w:tc>
          <w:tcPr/>
          <w:p>
            <w:r>
              <w:rPr>
                <w:b/>
              </w:rPr>
              <w:t>Итого выручка/мес</w:t>
            </w:r>
          </w:p>
        </w:tc>
        <w:tc>
          <w:tcPr/>
          <w:p>
            <w:r>
              <w:rPr>
                <w:b/>
              </w:rPr>
              <w:t>285 000 000</w:t>
            </w:r>
          </w:p>
        </w:tc>
        <w:tc>
          <w:tcPr/>
          <w:p/>
        </w:tc>
      </w:tr>
    </w:tbl>
    <w:p>
      <w:r>
        <w:rPr>
          <w:b/>
        </w:rPr>
        <w:t>Ежемесячные операционные расходы</w:t>
      </w:r>
    </w:p>
    <w:tbl>
      <w:tblPr>
        <w:tblStyle w:val="CkTable"/>
        <w:tblW w:w="0" w:type="auto"/>
        <w:tblLayout w:type="autofit"/>
        <w:tblLook w:firstRow="1" w:lastRow="0" w:firstColumn="0" w:lastColumn="0" w:noHBand="0" w:noVBand="1"/>
      </w:tblPr>
      <w:tblGrid>
        <w:gridCol/>
        <w:gridCol/>
        <w:gridCol/>
      </w:tblGrid>
      <w:tr>
        <w:trPr>
          <w:tblHeader/>
        </w:trPr>
        <w:tc>
          <w:tcPr/>
          <w:p>
            <w:r>
              <w:rPr>
                <w:b/>
              </w:rPr>
              <w:t>Статья</w:t>
            </w:r>
          </w:p>
        </w:tc>
        <w:tc>
          <w:tcPr/>
          <w:p>
            <w:r>
              <w:rPr>
                <w:b/>
              </w:rPr>
              <w:t>Сумма, сум</w:t>
            </w:r>
          </w:p>
        </w:tc>
        <w:tc>
          <w:tcPr/>
          <w:p>
            <w:r>
              <w:rPr>
                <w:b/>
              </w:rPr>
              <w:t>Комментарий</w:t>
            </w:r>
          </w:p>
        </w:tc>
      </w:tr>
      <w:tr>
        <w:tc>
          <w:tcPr/>
          <w:p>
            <w:r>
              <w:t>ФОТ врачей и мед. персонала</w:t>
            </w:r>
          </w:p>
        </w:tc>
        <w:tc>
          <w:tcPr/>
          <w:p>
            <w:r>
              <w:t>78 000 000</w:t>
            </w:r>
          </w:p>
        </w:tc>
        <w:tc>
          <w:tcPr/>
          <w:p>
            <w:r>
              <w:t>главврач-совладелец 15 млн + 4 врача по 10 млн + 2 медсестры по 5 млн + администратор 4,5 млн + ЕСП ~12%</w:t>
            </w:r>
          </w:p>
        </w:tc>
      </w:tr>
      <w:tr>
        <w:tc>
          <w:tcPr/>
          <w:p>
            <w:r>
              <w:t>Расходные материалы и медикаменты</w:t>
            </w:r>
          </w:p>
        </w:tc>
        <w:tc>
          <w:tcPr/>
          <w:p>
            <w:r>
              <w:t>18 000 000</w:t>
            </w:r>
          </w:p>
        </w:tc>
        <w:tc>
          <w:tcPr/>
          <w:p>
            <w:r>
              <w:t>~6-7% от выручки — оценка: гель для УЗИ, расходники, медикаменты</w:t>
            </w:r>
          </w:p>
        </w:tc>
      </w:tr>
      <w:tr>
        <w:tc>
          <w:tcPr/>
          <w:p>
            <w:r>
              <w:t>Обслуживание оборудования</w:t>
            </w:r>
          </w:p>
        </w:tc>
        <w:tc>
          <w:tcPr/>
          <w:p>
            <w:r>
              <w:t>7 000 000</w:t>
            </w:r>
          </w:p>
        </w:tc>
        <w:tc>
          <w:tcPr/>
          <w:p>
            <w:r>
              <w:t>~1% от стоимости оборудования в месяц — оценка: сервисный контракт на УЗИ-аппарат и прочее оборудование</w:t>
            </w:r>
          </w:p>
        </w:tc>
      </w:tr>
      <w:tr>
        <w:tc>
          <w:tcPr/>
          <w:p>
            <w:r>
              <w:t>Аренда и коммунальные услуги</w:t>
            </w:r>
          </w:p>
        </w:tc>
        <w:tc>
          <w:tcPr/>
          <w:p>
            <w:r>
              <w:t>95 000 000</w:t>
            </w:r>
          </w:p>
        </w:tc>
        <w:tc>
          <w:tcPr/>
          <w:p>
            <w:r>
              <w:t>оценка: ~550 м² в спальном районе Ташкента, ~12-15 долл./м²/мес + коммунальные</w:t>
            </w:r>
          </w:p>
        </w:tc>
      </w:tr>
      <w:tr>
        <w:tc>
          <w:tcPr/>
          <w:p>
            <w:r>
              <w:t>Страхование профессиональной ответственности</w:t>
            </w:r>
          </w:p>
        </w:tc>
        <w:tc>
          <w:tcPr/>
          <w:p>
            <w:r>
              <w:t>8 500 000</w:t>
            </w:r>
          </w:p>
        </w:tc>
        <w:tc>
          <w:tcPr/>
          <w:p>
            <w:r>
              <w:t>ежемесячный эквивалент годовой премии (~100 млн сум/год)</w:t>
            </w:r>
          </w:p>
        </w:tc>
      </w:tr>
      <w:tr>
        <w:tc>
          <w:tcPr/>
          <w:p>
            <w:r>
              <w:rPr>
                <w:b/>
              </w:rPr>
              <w:t>Итого расходы/мес</w:t>
            </w:r>
          </w:p>
        </w:tc>
        <w:tc>
          <w:tcPr/>
          <w:p>
            <w:r>
              <w:rPr>
                <w:b/>
              </w:rPr>
              <w:t>206 500 000</w:t>
            </w:r>
          </w:p>
        </w:tc>
        <w:tc>
          <w:tcPr/>
          <w:p/>
        </w:tc>
      </w:tr>
    </w:tbl>
    <w:sdt>
      <w:sdtPr>
        <w:tag w:val="clarkdown:div"/>
        <ck:div v="|panel|"/>
      </w:sdtPr>
      <w:sdtContent>
        <w:tbl>
          <w:tblPr>
            <w:tblW w:w="5000" w:type="pct"/>
            <w:tblBorders>
              <w:top w:val="none"/>
              <w:left w:val="none"/>
              <w:bottom w:val="none"/>
              <w:right w:val="none"/>
              <w:insideH w:val="none"/>
              <w:insideV w:val="none"/>
            </w:tblBorders>
            <w:tblCellMar>
              <w:top w:w="320" w:type="dxa"/>
              <w:left w:w="240" w:type="dxa"/>
              <w:bottom w:w="320" w:type="dxa"/>
              <w:right w:w="240" w:type="dxa"/>
            </w:tblCellMar>
          </w:tblPr>
          <w:tblGrid>
            <w:gridCol/>
          </w:tblGrid>
          <w:tr>
            <w:tc>
              <w:tcPr>
                <w:shd w:val="clear" w:fill="E4E4E4"/>
              </w:tcPr>
              <w:p>
                <w:r>
                  <w:rPr>
                    <w:b/>
                  </w:rPr>
                  <w:t>Ежемесячная прибыль:</w:t>
                </w:r>
                <w:r>
                  <w:t xml:space="preserve"> 78 500 000 сум · </w:t>
                </w:r>
                <w:r>
                  <w:rPr>
                    <w:b/>
                  </w:rPr>
                  <w:t>Срок окупаемости:</w:t>
                </w:r>
                <w:r>
                  <w:t xml:space="preserve"> 30,6 мес. · </w:t>
                </w:r>
                <w:r>
                  <w:rPr>
                    <w:b/>
                  </w:rPr>
                  <w:t>Рентабельность продаж:</w:t>
                </w:r>
                <w:r>
                  <w:t xml:space="preserve"> 27,5%</w:t>
                </w:r>
              </w:p>
            </w:tc>
          </w:tr>
        </w:tbl>
      </w:sdtContent>
    </w:sdt>
    <w:p>
      <w:r>
        <w:rPr>
          <w:rStyle w:val="CkCaption"/>
          <w:i/>
        </w:rPr>
        <w:t>Как считался этот пример: инвестиции 2,4 млрд сум складываются из ремонта, оборудования (вкл. УЗИ), лицензирования, найма и буферного ФОТ, IT-системы и страхования. При выходе на полную загрузку 40 приёмов/день прибыль ≈78,5 млн сум/мес даёт окупаемость ≈30,6 мес. — совпадает с заявленным ориентиром ~30 мес. (в первые месяцы после открытия загрузка ниже целевой).</w:t>
      </w:r>
    </w:p>
    <w:p>
      <w:r>
        <w:t>[Впишите] Пересчитайте таблицы выше на основе цен, ставок аренды/зарплат и объёмов продаж вашего проекта в вашем регионе.</w:t>
      </w:r>
    </w:p>
    <w:p>
      <w:pPr>
        <w:pStyle w:val="Heading2"/>
        <ck:id v="risks"/>
      </w:pPr>
      <w:bookmarkStart w:id="21" w:name="risks"/>
      <w:r>
        <w:t>Риски и меры по их снижению</w:t>
      </w:r>
      <w:bookmarkEnd w:id="21"/>
    </w:p>
    <w:tbl>
      <w:tblPr>
        <w:tblStyle w:val="CkTable"/>
        <w:tblW w:w="0" w:type="auto"/>
        <w:tblLayout w:type="autofit"/>
        <w:tblLook w:firstRow="1" w:lastRow="0" w:firstColumn="0" w:lastColumn="0" w:noHBand="0" w:noVBand="1"/>
      </w:tblPr>
      <w:tblGrid>
        <w:gridCol/>
        <w:gridCol/>
      </w:tblGrid>
      <w:tr>
        <w:trPr>
          <w:tblHeader/>
        </w:trPr>
        <w:tc>
          <w:tcPr/>
          <w:p>
            <w:r>
              <w:rPr>
                <w:b/>
              </w:rPr>
              <w:t>Риск</w:t>
            </w:r>
          </w:p>
        </w:tc>
        <w:tc>
          <w:tcPr/>
          <w:p>
            <w:r>
              <w:rPr>
                <w:b/>
              </w:rPr>
              <w:t>Меры снижения</w:t>
            </w:r>
          </w:p>
        </w:tc>
      </w:tr>
      <w:tr>
        <w:tc>
          <w:tcPr/>
          <w:p>
            <w:r>
              <w:t>Дефицит квалифицированных врачей нужной специализации</w:t>
            </w:r>
          </w:p>
        </w:tc>
        <w:tc>
          <w:tcPr/>
          <w:p>
            <w:r>
              <w:t>Конкурентные условия, партнёрства с медицинскими вузами, программы наставничества</w:t>
            </w:r>
          </w:p>
        </w:tc>
      </w:tr>
      <w:tr>
        <w:tc>
          <w:tcPr/>
          <w:p>
            <w:r>
              <w:t>Регуляторные требования и длительные сроки лицензирования</w:t>
            </w:r>
          </w:p>
        </w:tc>
        <w:tc>
          <w:tcPr/>
          <w:p>
            <w:r>
              <w:t>Заблаговременная подготовка документов, консультации с профильными юристами до старта</w:t>
            </w:r>
          </w:p>
        </w:tc>
      </w:tr>
      <w:tr>
        <w:tc>
          <w:tcPr/>
          <w:p>
            <w:r>
              <w:t>Репутационные риски при врачебных ошибках или жалобах пациентов</w:t>
            </w:r>
          </w:p>
        </w:tc>
        <w:tc>
          <w:tcPr/>
          <w:p>
            <w:r>
              <w:t>Контроль качества услуг, страхование профессиональной ответственности, прозрачная работа с жалобами</w:t>
            </w:r>
          </w:p>
        </w:tc>
      </w:tr>
      <w:tr>
        <w:tc>
          <w:tcPr/>
          <w:p>
            <w:r>
              <w:t>Высокая концентрация конкурентов в крупных городах</w:t>
            </w:r>
          </w:p>
        </w:tc>
        <w:tc>
          <w:tcPr/>
          <w:p>
            <w:r>
              <w:t>Чёткая специализация и УТП, рассмотрение менее насыщенных районов/регионов</w:t>
            </w:r>
          </w:p>
        </w:tc>
      </w:tr>
      <w:tr>
        <w:tc>
          <w:tcPr/>
          <w:p>
            <w:r>
              <w:t>Рост цен на медицинское оборудование и расходники (валютная составляющая)</w:t>
            </w:r>
          </w:p>
        </w:tc>
        <w:tc>
          <w:tcPr/>
          <w:p>
            <w:r>
              <w:t>Долгосрочные контракты с поставщиками, частичное резервирование в валюте</w:t>
            </w:r>
          </w:p>
        </w:tc>
      </w:tr>
      <w:tr>
        <w:tc>
          <w:tcPr/>
          <w:p>
            <w:r>
              <w:t>Отток пациентов к медтуризму за рубеж по сложным случаям</w:t>
            </w:r>
          </w:p>
        </w:tc>
        <w:tc>
          <w:tcPr/>
          <w:p>
            <w:r>
              <w:t>Партнёрства с зарубежными клиниками для сложных случаев, фокус на массовые и профилактические услуги на месте</w:t>
            </w:r>
          </w:p>
        </w:tc>
      </w:tr>
    </w:tbl>
    <w:p>
      <w:r>
        <w:t>[Впишите] Дополните таблицу своими рисками, специфичными для вашего проекта и региона.</w:t>
      </w:r>
    </w:p>
    <w:sectPr>
      <ck:section v="1:||margins=1.1in,size=letter"/>
      <w:footerReference w:type="default" r:id="rIdHf11"/>
      <w:pgSz w:w="12240" w:h="15840"/>
      <w:pgMar w:top="1584" w:right="1584" w:bottom="1584" w:left="1584" w:header="720" w:footer="720" w:gutter="0"/>
    </w:sectPr>
  </w:body>
</w:document>
</file>

<file path=word/fontTable.xml><?xml version="1.0" encoding="utf-8"?>
<w:fonts xmlns:w="http://schemas.openxmlformats.org/wordprocessingml/2006/main">
  <w:font w:name="Cambria">
    <w:family w:val="roman"/>
  </w:font>
  <w:font w:name="Consolas">
    <w:family w:val="modern"/>
  </w:font>
</w:fonts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="http://schemas.openxmlformats.org/officeDocument/2006/math" xmlns:mc="http://schemas.openxmlformats.org/markup-compatibility/2006" xmlns:ck="urn:clarkdown:docx" mc:Ignorable="ck">
  <w:sdt>
    <w:sdtPr>
      <w:tag w:val="clarkdown:div"/>
      <ck:div v="||text-align=center"/>
    </w:sdtPr>
    <w:sdtContent>
      <w:p>
        <w:pPr>
          <w:jc w:val="center"/>
        </w:pPr>
        <w:r>
          <w:t xml:space="preserve">MoliyaHub · </w:t>
        </w:r>
        <w:fldSimple w:instr="PAGE">
          <w:r>
            <w:t>1</w:t>
          </w:r>
        </w:fldSimple>
      </w:p>
    </w:sdtContent>
  </w:sdt>
</w:ftr>
</file>

<file path=word/footer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="http://schemas.openxmlformats.org/officeDocument/2006/math" xmlns:mc="http://schemas.openxmlformats.org/markup-compatibility/2006" xmlns:ck="urn:clarkdown:docx" mc:Ignorable="ck">
  <w:sdt>
    <w:sdtPr>
      <w:tag w:val="clarkdown:div"/>
      <ck:div v="||text-align=center"/>
    </w:sdtPr>
    <w:sdtContent>
      <w:p>
        <w:pPr>
          <w:jc w:val="center"/>
        </w:pPr>
        <w:r>
          <w:t xml:space="preserve">MoliyaHub · </w:t>
        </w:r>
        <w:fldSimple w:instr="PAGE">
          <w:r>
            <w:t>1</w:t>
          </w:r>
        </w:fldSimple>
      </w:p>
    </w:sdtContent>
  </w:sdt>
</w:ftr>
</file>

<file path=word/numbering.xml><?xml version="1.0" encoding="utf-8"?>
<w:numbering xmlns:w="http://schemas.openxmlformats.org/wordprocessingml/2006/main"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1."/>
      <w:lvlJc w:val="left"/>
      <w:pPr>
        <w:ind w:left="2880" w:hanging="360"/>
      </w:pPr>
    </w:lvl>
    <w:lvl w:ilvl="4">
      <w:start w:val="1"/>
      <w:numFmt w:val="decimal"/>
      <w:lvlText w:val="%2."/>
      <w:lvlJc w:val="left"/>
      <w:pPr>
        <w:ind w:left="3600" w:hanging="360"/>
      </w:pPr>
    </w:lvl>
    <w:lvl w:ilvl="5">
      <w:start w:val="1"/>
      <w:numFmt w:val="decimal"/>
      <w:lvlText w:val="%3."/>
      <w:lvlJc w:val="left"/>
      <w:pPr>
        <w:ind w:left="4320" w:hanging="360"/>
      </w:pPr>
    </w:lvl>
    <w:lvl w:ilvl="6">
      <w:start w:val="1"/>
      <w:numFmt w:val="decimal"/>
      <w:lvlText w:val="%1."/>
      <w:lvlJc w:val="left"/>
      <w:pPr>
        <w:ind w:left="5040" w:hanging="360"/>
      </w:pPr>
    </w:lvl>
    <w:lvl w:ilvl="7">
      <w:start w:val="1"/>
      <w:numFmt w:val="decimal"/>
      <w:lvlText w:val="%2."/>
      <w:lvlJc w:val="left"/>
      <w:pPr>
        <w:ind w:left="5760" w:hanging="360"/>
      </w:pPr>
    </w:lvl>
    <w:lvl w:ilvl="8">
      <w:start w:val="1"/>
      <w:numFmt w:val="decimal"/>
      <w:lvlText w:val="%3."/>
      <w:lvlJc w:val="left"/>
      <w:pPr>
        <w:ind w:left="6480" w:hanging="360"/>
      </w:pPr>
    </w:lvl>
  </w:abstractNum>
  <w:abstractNum w:abstractNumId="3">
    <w:multiLevelType w:val="hybridMultilevel"/>
    <w:lvl w:ilvl="0">
      <w:start w:val="1"/>
      <w:numFmt w:val="bullet"/>
      <w:lvlText w:val="☐"/>
      <w:lvlJc w:val="left"/>
      <w:pPr>
        <w:ind w:left="720" w:hanging="360"/>
      </w:pPr>
    </w:lvl>
    <w:lvl w:ilvl="1">
      <w:start w:val="1"/>
      <w:numFmt w:val="bullet"/>
      <w:lvlText w:val="☐"/>
      <w:lvlJc w:val="left"/>
      <w:pPr>
        <w:ind w:left="1440" w:hanging="360"/>
      </w:pPr>
    </w:lvl>
    <w:lvl w:ilvl="2">
      <w:start w:val="1"/>
      <w:numFmt w:val="bullet"/>
      <w:lvlText w:val="☐"/>
      <w:lvlJc w:val="left"/>
      <w:pPr>
        <w:ind w:left="2160" w:hanging="360"/>
      </w:pPr>
    </w:lvl>
    <w:lvl w:ilvl="3">
      <w:start w:val="1"/>
      <w:numFmt w:val="bullet"/>
      <w:lvlText w:val="☐"/>
      <w:lvlJc w:val="left"/>
      <w:pPr>
        <w:ind w:left="2880" w:hanging="360"/>
      </w:pPr>
    </w:lvl>
    <w:lvl w:ilvl="4">
      <w:start w:val="1"/>
      <w:numFmt w:val="bullet"/>
      <w:lvlText w:val="☐"/>
      <w:lvlJc w:val="left"/>
      <w:pPr>
        <w:ind w:left="3600" w:hanging="360"/>
      </w:pPr>
    </w:lvl>
    <w:lvl w:ilvl="5">
      <w:start w:val="1"/>
      <w:numFmt w:val="bullet"/>
      <w:lvlText w:val="☐"/>
      <w:lvlJc w:val="left"/>
      <w:pPr>
        <w:ind w:left="4320" w:hanging="360"/>
      </w:pPr>
    </w:lvl>
    <w:lvl w:ilvl="6">
      <w:start w:val="1"/>
      <w:numFmt w:val="bullet"/>
      <w:lvlText w:val="☐"/>
      <w:lvlJc w:val="left"/>
      <w:pPr>
        <w:ind w:left="5040" w:hanging="360"/>
      </w:pPr>
    </w:lvl>
    <w:lvl w:ilvl="7">
      <w:start w:val="1"/>
      <w:numFmt w:val="bullet"/>
      <w:lvlText w:val="☐"/>
      <w:lvlJc w:val="left"/>
      <w:pPr>
        <w:ind w:left="5760" w:hanging="360"/>
      </w:pPr>
    </w:lvl>
    <w:lvl w:ilvl="8">
      <w:start w:val="1"/>
      <w:numFmt w:val="bullet"/>
      <w:lvlText w:val="☐"/>
      <w:lvlJc w:val="left"/>
      <w:pPr>
        <w:ind w:left="6480" w:hanging="360"/>
      </w:pPr>
    </w:lvl>
  </w:abstractNum>
  <w:abstractNum w:abstractNumId="4">
    <w:multiLevelType w:val="hybridMultilevel"/>
    <w:lvl w:ilvl="0">
      <w:start w:val="1"/>
      <w:numFmt w:val="bullet"/>
      <w:lvlText w:val="☑"/>
      <w:lvlJc w:val="left"/>
      <w:pPr>
        <w:ind w:left="720" w:hanging="360"/>
      </w:pPr>
    </w:lvl>
    <w:lvl w:ilvl="1">
      <w:start w:val="1"/>
      <w:numFmt w:val="bullet"/>
      <w:lvlText w:val="☑"/>
      <w:lvlJc w:val="left"/>
      <w:pPr>
        <w:ind w:left="1440" w:hanging="360"/>
      </w:pPr>
    </w:lvl>
    <w:lvl w:ilvl="2">
      <w:start w:val="1"/>
      <w:numFmt w:val="bullet"/>
      <w:lvlText w:val="☑"/>
      <w:lvlJc w:val="left"/>
      <w:pPr>
        <w:ind w:left="2160" w:hanging="360"/>
      </w:pPr>
    </w:lvl>
    <w:lvl w:ilvl="3">
      <w:start w:val="1"/>
      <w:numFmt w:val="bullet"/>
      <w:lvlText w:val="☑"/>
      <w:lvlJc w:val="left"/>
      <w:pPr>
        <w:ind w:left="2880" w:hanging="360"/>
      </w:pPr>
    </w:lvl>
    <w:lvl w:ilvl="4">
      <w:start w:val="1"/>
      <w:numFmt w:val="bullet"/>
      <w:lvlText w:val="☑"/>
      <w:lvlJc w:val="left"/>
      <w:pPr>
        <w:ind w:left="3600" w:hanging="360"/>
      </w:pPr>
    </w:lvl>
    <w:lvl w:ilvl="5">
      <w:start w:val="1"/>
      <w:numFmt w:val="bullet"/>
      <w:lvlText w:val="☑"/>
      <w:lvlJc w:val="left"/>
      <w:pPr>
        <w:ind w:left="4320" w:hanging="360"/>
      </w:pPr>
    </w:lvl>
    <w:lvl w:ilvl="6">
      <w:start w:val="1"/>
      <w:numFmt w:val="bullet"/>
      <w:lvlText w:val="☑"/>
      <w:lvlJc w:val="left"/>
      <w:pPr>
        <w:ind w:left="5040" w:hanging="360"/>
      </w:pPr>
    </w:lvl>
    <w:lvl w:ilvl="7">
      <w:start w:val="1"/>
      <w:numFmt w:val="bullet"/>
      <w:lvlText w:val="☑"/>
      <w:lvlJc w:val="left"/>
      <w:pPr>
        <w:ind w:left="5760" w:hanging="360"/>
      </w:pPr>
    </w:lvl>
    <w:lvl w:ilvl="8">
      <w:start w:val="1"/>
      <w:numFmt w:val="bullet"/>
      <w:lvlText w:val="☑"/>
      <w:lvlJc w:val="left"/>
      <w:pPr>
        <w:ind w:left="6480" w:hanging="360"/>
      </w:pPr>
    </w:lvl>
  </w:abstractNum>
  <w:abstractNum w:abstractNumId="5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num w:numId="1">
    <w:abstractNumId w:val="1"/>
  </w:num>
  <w:num w:numId="11">
    <w:abstractNumId w:val="5"/>
  </w:num>
</w:numbering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mbria" w:hAnsi="Cambria" w:cs="Cambria"/>
        <w:sz w:val="22"/>
        <w:szCs w:val="22"/>
        <w:lang w:val="en-US"/>
      </w:rPr>
    </w:rPrDefault>
    <w:pPrDefault>
      <w:pPr>
        <w:spacing w:after="160" w:line="312" w:lineRule="auto"/>
      </w:pPr>
    </w:pPrDefault>
  </w:docDefaults>
  <w:style w:type="paragraph" w:styleId="Normal" w:default="1">
    <w:name w:val="Normal"/>
  </w:style>
  <w:style w:type="paragraph" w:styleId="Heading1" w:default="0">
    <w:name w:val="heading 1"/>
    <w:basedOn w:val="Normal"/>
    <w:next w:val="Normal"/>
    <w:pPr>
      <w:keepNext/>
      <w:keepLines/>
      <w:spacing w:before="320" w:line="264" w:lineRule="auto"/>
      <w:outlineLvl w:val="0"/>
    </w:pPr>
    <w:rPr>
      <w:rFonts w:ascii="Cambria" w:hAnsi="Cambria"/>
      <w:b/>
      <w:color w:val="1A1A1A"/>
      <w:sz w:val="38"/>
      <w:szCs w:val="38"/>
    </w:rPr>
  </w:style>
  <w:style w:type="paragraph" w:styleId="Heading2" w:default="0">
    <w:name w:val="heading 2"/>
    <w:basedOn w:val="Normal"/>
    <w:next w:val="Normal"/>
    <w:pPr>
      <w:keepNext/>
      <w:keepLines/>
      <w:spacing w:before="320" w:line="264" w:lineRule="auto"/>
      <w:outlineLvl w:val="1"/>
    </w:pPr>
    <w:rPr>
      <w:rFonts w:ascii="Cambria" w:hAnsi="Cambria"/>
      <w:b/>
      <w:sz w:val="32"/>
      <w:szCs w:val="32"/>
    </w:rPr>
  </w:style>
  <w:style w:type="paragraph" w:styleId="Heading3" w:default="0">
    <w:name w:val="heading 3"/>
    <w:basedOn w:val="Normal"/>
    <w:next w:val="Normal"/>
    <w:pPr>
      <w:keepNext/>
      <w:keepLines/>
      <w:spacing w:before="160" w:line="264" w:lineRule="auto"/>
      <w:outlineLvl w:val="2"/>
    </w:pPr>
    <w:rPr>
      <w:rFonts w:ascii="Cambria" w:hAnsi="Cambria"/>
      <w:b/>
      <w:sz w:val="26"/>
      <w:szCs w:val="26"/>
    </w:rPr>
  </w:style>
  <w:style w:type="paragraph" w:styleId="Heading4" w:default="0">
    <w:name w:val="heading 4"/>
    <w:basedOn w:val="Normal"/>
    <w:next w:val="Normal"/>
    <w:pPr>
      <w:keepNext/>
      <w:keepLines/>
      <w:spacing w:before="160" w:line="264" w:lineRule="auto"/>
      <w:outlineLvl w:val="3"/>
    </w:pPr>
    <w:rPr>
      <w:rFonts w:ascii="Cambria" w:hAnsi="Cambria"/>
      <w:b/>
      <w:sz w:val="22"/>
      <w:szCs w:val="22"/>
    </w:rPr>
  </w:style>
  <w:style w:type="paragraph" w:styleId="Heading5" w:default="0">
    <w:name w:val="heading 5"/>
    <w:basedOn w:val="Normal"/>
    <w:next w:val="Normal"/>
    <w:pPr>
      <w:keepNext/>
      <w:keepLines/>
      <w:spacing w:before="160" w:line="264" w:lineRule="auto"/>
      <w:outlineLvl w:val="4"/>
    </w:pPr>
    <w:rPr>
      <w:rFonts w:ascii="Cambria" w:hAnsi="Cambria"/>
      <w:b/>
      <w:sz w:val="22"/>
      <w:szCs w:val="22"/>
    </w:rPr>
  </w:style>
  <w:style w:type="paragraph" w:styleId="Heading6" w:default="0">
    <w:name w:val="heading 6"/>
    <w:basedOn w:val="Normal"/>
    <w:next w:val="Normal"/>
    <w:pPr>
      <w:keepNext/>
      <w:keepLines/>
      <w:spacing w:before="160" w:line="264" w:lineRule="auto"/>
      <w:outlineLvl w:val="5"/>
    </w:pPr>
    <w:rPr>
      <w:rFonts w:ascii="Cambria" w:hAnsi="Cambria"/>
      <w:b/>
      <w:sz w:val="22"/>
      <w:szCs w:val="22"/>
    </w:rPr>
  </w:style>
  <w:style w:type="paragraph" w:styleId="Quote" w:default="0">
    <w:name w:val="Quote"/>
    <w:basedOn w:val="Normal"/>
    <w:pPr>
      <w:ind w:left="320"/>
      <w:pBdr>
        <w:left w:val="single" w:sz="24" w:space="12" w:color="BFBFBF"/>
      </w:pBdr>
    </w:pPr>
    <w:rPr>
      <w:i/>
      <w:color w:val="595959"/>
    </w:rPr>
  </w:style>
  <w:style w:type="character" w:styleId="CkHighlight">
    <w:name w:val="Clarkdown Highlight"/>
    <w:rPr>
      <w:shd w:val="clear" w:fill="FFF2A8"/>
    </w:rPr>
  </w:style>
  <w:style w:type="character" w:styleId="CkSmallcaps">
    <w:name w:val="Clarkdown Smallcaps"/>
    <w:rPr>
      <w:smallCaps/>
    </w:rPr>
  </w:style>
  <w:style w:type="character" w:styleId="CkUnderline">
    <w:name w:val="Clarkdown Underline"/>
    <w:rPr>
      <w:u w:val="single"/>
    </w:rPr>
  </w:style>
  <w:style w:type="character" w:styleId="CkMuted">
    <w:name w:val="Clarkdown Muted"/>
    <w:rPr>
      <w:color w:val="595959"/>
    </w:rPr>
  </w:style>
  <w:style w:type="character" w:styleId="CkAccent">
    <w:name w:val="Clarkdown Accent"/>
    <w:rPr>
      <w:color w:val="1A1A1A"/>
    </w:rPr>
  </w:style>
  <w:style w:type="character" w:styleId="CkCaption">
    <w:name w:val="Clarkdown Caption"/>
    <w:rPr>
      <w:i/>
      <w:color w:val="595959"/>
      <w:sz w:val="20"/>
      <w:szCs w:val="20"/>
    </w:rPr>
  </w:style>
  <w:style w:type="paragraph" w:styleId="CkDisplay" w:default="0">
    <w:name w:val="Clarkdown Display"/>
    <w:basedOn w:val="Normal"/>
    <w:next w:val="Normal"/>
    <w:pPr>
      <w:keepNext/>
      <w:keepLines/>
      <w:spacing w:after="240" w:line="264" w:lineRule="auto"/>
    </w:pPr>
    <w:rPr>
      <w:rFonts w:ascii="Cambria" w:hAnsi="Cambria"/>
      <w:b/>
      <w:color w:val="1A1A1A"/>
      <w:sz w:val="132"/>
      <w:szCs w:val="132"/>
    </w:rPr>
  </w:style>
  <w:style w:type="character" w:styleId="CkKicker">
    <w:name w:val="Clarkdown Kicker"/>
    <w:rPr>
      <w:smallCaps/>
      <w:spacing w:val="18"/>
      <w:color w:val="595959"/>
    </w:rPr>
  </w:style>
  <w:style w:type="paragraph" w:styleId="CkTrackedCaps" w:default="0">
    <w:name w:val="Clarkdown Tracked Caps"/>
    <w:basedOn w:val="Normal"/>
    <w:next w:val="Normal"/>
    <w:rPr>
      <w:smallCaps/>
      <w:spacing w:val="18"/>
    </w:rPr>
  </w:style>
  <w:style w:type="paragraph" w:styleId="Title" w:default="0">
    <w:name w:val="Title"/>
    <w:basedOn w:val="Normal"/>
    <w:next w:val="Normal"/>
    <w:pPr>
      <w:keepNext/>
      <w:keepLines/>
      <w:spacing w:after="240" w:line="264" w:lineRule="auto"/>
    </w:pPr>
    <w:rPr>
      <w:rFonts w:ascii="Cambria" w:hAnsi="Cambria"/>
      <w:b/>
      <w:sz w:val="46"/>
      <w:szCs w:val="46"/>
    </w:rPr>
  </w:style>
  <w:style w:type="character" w:styleId="Hyperlink">
    <w:name w:val="Hyperlink"/>
    <w:rPr>
      <w:color w:val="1A1A1A"/>
      <w:u w:val="single"/>
    </w:rPr>
  </w:style>
  <w:style w:type="paragraph" w:styleId="CkCodeBlock" w:default="0">
    <w:name w:val="Clarkdown Code Block"/>
    <w:basedOn w:val="Normal"/>
    <w:pPr>
      <w:shd w:val="clear" w:fill="EDEDED"/>
      <w:spacing w:after="0" w:line="240" w:lineRule="auto"/>
    </w:pPr>
    <w:rPr>
      <w:rFonts w:ascii="Consolas" w:hAnsi="Consolas"/>
      <w:noProof/>
      <w:sz w:val="20"/>
    </w:rPr>
  </w:style>
  <w:style w:type="character" w:styleId="CkCode">
    <w:name w:val="Clarkdown Code"/>
    <w:rPr>
      <w:rFonts w:ascii="Consolas" w:hAnsi="Consolas"/>
      <w:shd w:val="clear" w:fill="EDEDED"/>
      <w:sz w:val="20"/>
    </w:rPr>
  </w:style>
  <w:style w:type="paragraph" w:styleId="Caption" w:default="0">
    <w:name w:val="caption"/>
    <w:basedOn w:val="Normal"/>
    <w:rPr>
      <w:i/>
      <w:sz w:val="18"/>
    </w:rPr>
  </w:style>
  <w:style w:type="paragraph" w:styleId="ListParagraph" w:default="0">
    <w:name w:val="List Paragraph"/>
    <w:basedOn w:val="Normal"/>
    <w:pPr>
      <w:ind w:left="320"/>
    </w:pPr>
  </w:style>
  <w:style w:type="paragraph" w:styleId="CkUnknown" w:default="0">
    <w:name w:val="Clarkdown Unknown"/>
    <w:basedOn w:val="Normal"/>
    <w:pPr>
      <w:shd w:val="clear" w:fill="FFEEEE"/>
    </w:pPr>
  </w:style>
  <w:style w:type="paragraph" w:styleId="FootnoteText" w:default="0">
    <w:name w:val="footnote text"/>
    <w:basedOn w:val="Normal"/>
    <w:rPr>
      <w:sz w:val="18"/>
    </w:rPr>
  </w:style>
  <w:style w:type="character" w:styleId="FootnoteReference">
    <w:name w:val="footnote reference"/>
    <w:rPr>
      <w:vertAlign w:val="superscript"/>
    </w:rPr>
  </w:style>
  <w:style w:type="table" w:styleId="CkTable">
    <w:name w:val="Clarkdown Table"/>
    <w:tblPr>
      <w:tblBorders>
        <w:top w:val="single" w:sz="4" w:color="BFBFBF"/>
        <w:left w:val="single" w:sz="4" w:color="BFBFBF"/>
        <w:bottom w:val="single" w:sz="4" w:color="BFBFBF"/>
        <w:right w:val="single" w:sz="4" w:color="BFBFBF"/>
        <w:insideH w:val="single" w:sz="4" w:color="BFBFBF"/>
        <w:insideV w:val="single" w:sz="4" w:color="BFBFBF"/>
      </w:tblBorders>
      <w:tblCellMar>
        <w:top w:w="80" w:type="dxa"/>
        <w:left w:w="80" w:type="dxa"/>
        <w:bottom w:w="80" w:type="dxa"/>
        <w:right w:w="80" w:type="dxa"/>
      </w:tblCellMar>
    </w:tblPr>
  </w:style>
  <w:style w:type="table" w:styleId="CkLayout">
    <w:name w:val="Clarkdown Layout"/>
    <w:tblPr>
      <w:tblBorders>
        <w:top w:val="none"/>
        <w:left w:val="none"/>
        <w:bottom w:val="none"/>
        <w:right w:val="none"/>
        <w:insideH w:val="none"/>
        <w:insideV w:val="none"/>
      </w:tblBorders>
    </w:tblPr>
  </w:style>
  <w:style w:type="paragraph" w:styleId="CkNote" w:default="0">
    <w:name w:val="Clarkdown Note"/>
    <w:basedOn w:val="Normal"/>
    <w:pPr>
      <w:pBdr>
        <w:left w:val="single" w:sz="24" w:space="8" w:color="2F6FEB"/>
      </w:pBdr>
      <w:ind w:left="240"/>
    </w:pPr>
  </w:style>
  <w:style w:type="paragraph" w:styleId="CkTip" w:default="0">
    <w:name w:val="Clarkdown Tip"/>
    <w:basedOn w:val="Normal"/>
    <w:pPr>
      <w:pBdr>
        <w:left w:val="single" w:sz="24" w:space="8" w:color="1A7F37"/>
      </w:pBdr>
      <w:ind w:left="240"/>
    </w:pPr>
  </w:style>
  <w:style w:type="paragraph" w:styleId="CkWarning" w:default="0">
    <w:name w:val="Clarkdown Warning"/>
    <w:basedOn w:val="Normal"/>
    <w:pPr>
      <w:pBdr>
        <w:left w:val="single" w:sz="24" w:space="8" w:color="9A6700"/>
      </w:pBdr>
      <w:ind w:left="240"/>
    </w:pPr>
  </w:style>
  <w:style w:type="paragraph" w:styleId="CkImportant" w:default="0">
    <w:name w:val="Clarkdown Important"/>
    <w:basedOn w:val="Normal"/>
    <w:pPr>
      <w:pBdr>
        <w:left w:val="single" w:sz="24" w:space="8" w:color="8250DF"/>
      </w:pBdr>
      <w:ind w:left="240"/>
    </w:pPr>
  </w:style>
  <w:style w:type="paragraph" w:styleId="CkCaution" w:default="0">
    <w:name w:val="Clarkdown Caution"/>
    <w:basedOn w:val="Normal"/>
    <w:pPr>
      <w:pBdr>
        <w:left w:val="single" w:sz="24" w:space="8" w:color="CF222E"/>
      </w:pBdr>
      <w:ind w:left="240"/>
    </w:p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Numbering" Type="http://schemas.openxmlformats.org/officeDocument/2006/relationships/numbering" Target="numbering.xml"/><Relationship Id="rIdFonts" Type="http://schemas.openxmlformats.org/officeDocument/2006/relationships/fontTable" Target="fontTable.xml"/><Relationship Id="rIdSettings" Type="http://schemas.openxmlformats.org/officeDocument/2006/relationships/settings" Target="settings.xml"/><Relationship Id="rIdHf1" Type="http://schemas.openxmlformats.org/officeDocument/2006/relationships/footer" Target="footer1.xml"/><Relationship Id="rIdHf11" Type="http://schemas.openxmlformats.org/officeDocument/2006/relationships/footer" Target="footer2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rkdownFrontMatter">
    <vt:lpwstr>{"kv":{"theme":"serif"},"v":1}</vt:lpwstr>
  </property>
</Properties>
</file>