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Core" Type="http://schemas.openxmlformats.org/package/2006/relationships/metadata/core-properties" Target="docProps/core.xml"/><Relationship Id="rIdCustom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m="http://schemas.openxmlformats.org/officeDocument/2006/math" xmlns:mc="http://schemas.openxmlformats.org/markup-compatibility/2006" xmlns:ck="urn:clarkdown:docx" mc:Ignorable="ck">
  <w:body>
    <w:p>
      <w:pPr>
        <w:pStyle w:val="Title"/>
        <ck:id v="section"/>
      </w:pPr>
      <w:bookmarkStart w:id="0" w:name="section"/>
      <w:r>
        <w:t>БИЗНЕС-ПЛАН: ПРОМЫШЛЕННОСТЬ</w:t>
      </w:r>
      <w:bookmarkEnd w:id="0"/>
    </w:p>
    <w:p>
      <w:r>
        <w:rPr>
          <w:rStyle w:val="CkMuted"/>
        </w:rPr>
        <w:t>Пример: небольшое перерабатывающее или швейное производство</w:t>
      </w:r>
    </w:p>
    <w:p>
      <w:r>
        <w:t>Название проекта: [впишите]</w:t>
      </w:r>
      <w:r>
        <w:br/>
      </w:r>
      <w:r>
        <w:t>Автор / компания: [впишите]</w:t>
      </w:r>
      <w:r>
        <w:br/>
      </w:r>
      <w:r>
        <w:t>Регион реализации: [впишите]</w:t>
      </w:r>
      <w:r>
        <w:br/>
      </w:r>
      <w:r>
        <w:t>Требуемая сумма инвестиций, сум: [впишите]</w:t>
      </w:r>
      <w:r>
        <w:br/>
      </w:r>
      <w:r>
        <w:t>Дата: [впишите]</w:t>
      </w:r>
    </w:p>
    <w:p>
      <w:r>
        <w:rPr>
          <w:rStyle w:val="CkCaption"/>
          <w:i/>
        </w:rPr>
        <w:t>Это готовый образец (шаблон) бизнес-плана MoliyaHub для отрасли «Промышленность». Замените текст в квадратных скобках [впишите] и примеры на данные вашего проекта, добавьте или удалите пункты по необходимости. Абзацы в рамке, отмеченные «ПРИМЕР», и раздел «Пример финансового расчёта» — иллюстрация формата и порядка величины на основе рыночных ориентиров 2025-2026 года, а не факты и не финансовая отчётность о реальной компании: перед подачей в банк или инвестору замените их на данные своего проекта. Тот же расчёт с рабочими формулами (SUM, прибыль, срок окупаемости, рентабельность), которые пересчитываются автоматически, — в отдельном Excel-файле с тем же названием, который дополняет этот документ.</w:t>
      </w:r>
    </w:p>
    <w:p>
      <w:pPr>
        <w:pStyle w:val="Heading2"/>
        <ck:id v="resume"/>
      </w:pPr>
      <w:bookmarkStart w:id="1" w:name="resume"/>
      <w:r>
        <w:t>Резюме проекта</w:t>
      </w:r>
      <w:bookmarkEnd w:id="1"/>
    </w:p>
    <w:sdt>
      <w:sdtPr>
        <w:tag w:val="clarkdown:div"/>
        <ck:div v="|panel|"/>
      </w:sdtPr>
      <w:sdtContent>
        <w:tbl>
          <w:tblPr>
            <w:tblW w:w="5000" w:type="pct"/>
            <w:tblBorders>
              <w:top w:val="none"/>
              <w:left w:val="none"/>
              <w:bottom w:val="none"/>
              <w:right w:val="none"/>
              <w:insideH w:val="none"/>
              <w:insideV w:val="none"/>
            </w:tblBorders>
            <w:tblCellMar>
              <w:top w:w="320" w:type="dxa"/>
              <w:left w:w="240" w:type="dxa"/>
              <w:bottom w:w="320" w:type="dxa"/>
              <w:right w:w="240" w:type="dxa"/>
            </w:tblCellMar>
          </w:tblPr>
          <w:tblGrid>
            <w:gridCol/>
          </w:tblGrid>
          <w:tr>
            <w:tc>
              <w:tcPr>
                <w:shd w:val="clear" w:fill="E4E4E4"/>
              </w:tcPr>
              <w:p>
                <w:r>
                  <w:rPr>
                    <w:rStyle w:val="CkKicker"/>
                  </w:rPr>
                  <w:t>ПРИМЕР</w:t>
                </w:r>
              </w:p>
              <w:p>
                <w:r>
                  <w:t>ООО «Vodiy Tekstil» открывает швейный цех полного цикла в Ферганской области на 40 рабочих мест: закупка хлопковой пряжи у местного кластера, пошив трикотажных изделий для экспорта в Казахстан и Россию. Требуемые инвестиции — 850 млн сум на оборудование и оборотный капитал на первую партию; срок окупаемости — около 18 месяцев за счёт контракта с оптовым дистрибьютором на первый год.</w:t>
                </w:r>
              </w:p>
            </w:tc>
          </w:tr>
        </w:tbl>
      </w:sdtContent>
    </w:sdt>
    <w:p>
      <w:r>
        <w:t>[Впишите] В 5-8 предложениях: суть проекта, какую проблему решает, для кого, требуемая сумма инвестиций и на что она пойдёт, ожидаемый результат (выручка/прибыль/срок окупаемости).</w:t>
      </w:r>
    </w:p>
    <w:p>
      <w:pPr>
        <w:pStyle w:val="Heading2"/>
        <ck:id v="company"/>
      </w:pPr>
      <w:bookmarkStart w:id="2" w:name="company"/>
      <w:r>
        <w:t>Описание компании / проекта</w:t>
      </w:r>
      <w:bookmarkEnd w:id="2"/>
    </w:p>
    <w:p>
      <w:r>
        <w:t>[Впишите] Организационно-правовая форма (ИП/ООО/фермерское хозяйство), команда, текущий статус проекта (идея / MVP / действующий бизнес), уникальное торговое предложение.</w:t>
      </w:r>
    </w:p>
    <w:p>
      <w:pPr>
        <w:pStyle w:val="Heading2"/>
        <ck:id v="market"/>
      </w:pPr>
      <w:bookmarkStart w:id="3" w:name="market"/>
      <w:r>
        <w:t>Анализ рынка: Промышленность</w:t>
      </w:r>
      <w:bookmarkEnd w:id="3"/>
    </w:p>
    <w:p>
      <w:pPr>
        <w:pStyle w:val="ListParagraph"/>
        <w:numPr>
          <w:ilvl w:val="0"/>
          <w:numId w:val="1"/>
        </w:numPr>
      </w:pPr>
      <w:r>
        <w:t>Узбекистан — один из крупнейших мировых производителей хлопка-волокна; сырьевая база для текстильной и швейной отрасли — на месте, что снижает валютные риски по сырью по сравнению с странами-импортёрами хлопка.</w:t>
      </w:r>
    </w:p>
    <w:p>
      <w:pPr>
        <w:pStyle w:val="ListParagraph"/>
        <w:numPr>
          <w:ilvl w:val="0"/>
          <w:numId w:val="1"/>
        </w:numPr>
      </w:pPr>
      <w:r>
        <w:t>Текстильная и швейная промышленность — приоритетный экспортный сектор: действуют кластерная система (от хлопка до готового изделия в одной цепочке), свободные экономические зоны и налоговые льготы для производителей-экспортёров.</w:t>
      </w:r>
    </w:p>
    <w:p>
      <w:pPr>
        <w:pStyle w:val="ListParagraph"/>
        <w:numPr>
          <w:ilvl w:val="0"/>
          <w:numId w:val="1"/>
        </w:numPr>
      </w:pPr>
      <w:r>
        <w:t>По данным Госкомстата, за январь–апрель 2026 года Узбекистан экспортировал текстильной продукции на $454,5 млн (готовые изделия — 50%, пряжа — 32%), что заметно ниже уровня аналогичного периода 2025 года (около $840 млн) — отрасль ощущает давление внешнего спроса и ценовой конкуренции, планировать выручку на экспорт стоит консервативно (stat.uz).</w:t>
      </w:r>
    </w:p>
    <w:p>
      <w:pPr>
        <w:pStyle w:val="ListParagraph"/>
        <w:numPr>
          <w:ilvl w:val="0"/>
          <w:numId w:val="1"/>
        </w:numPr>
      </w:pPr>
      <w:r>
        <w:t>Для сравнения: Турция и Пакистан остаются крупнейшими конкурентами на глобальном рынке текстиля и швейных изделий за счёт масштаба производства и близости к морским портам; Узбекистан конкурирует прежде всего собственным хлопковым сырьём и льготными условиями в кластерах — логистика в ЕС/США у него дороже и дольше.</w:t>
      </w:r>
    </w:p>
    <w:p>
      <w:pPr>
        <w:pStyle w:val="ListParagraph"/>
        <w:numPr>
          <w:ilvl w:val="0"/>
          <w:numId w:val="1"/>
        </w:numPr>
      </w:pPr>
      <w:r>
        <w:t>Растёт экспорт в страны СНГ и ЕС (Узбекистан имеет преференциальный режим GSP+ с ЕС на часть товарных позиций) — учитывайте требования к качеству, сертификации (ISO, Oeko-Tex для текстиля) и происхождению товара на целевом рынке.</w:t>
      </w:r>
    </w:p>
    <w:p>
      <w:pPr>
        <w:pStyle w:val="ListParagraph"/>
        <w:numPr>
          <w:ilvl w:val="0"/>
          <w:numId w:val="1"/>
        </w:numPr>
      </w:pPr>
      <w:r>
        <w:t>Горнодобыча и металлургия (золото, медь, урановое сырьё) — капиталоёмкие подотрасли с доминированием крупных государственных холдингов (АГМК, НГМК); малому и среднему бизнесу здесь реалистичнее заходить через сервис и подряд (обслуживание техники, транспорт, стройка на объектах), а не через добычу.</w:t>
      </w:r>
    </w:p>
    <w:p>
      <w:pPr>
        <w:pStyle w:val="ListParagraph"/>
        <w:numPr>
          <w:ilvl w:val="0"/>
          <w:numId w:val="1"/>
        </w:numPr>
      </w:pPr>
      <w:r>
        <w:t>Химическая, фармацевтическая и стройматериальная подотрасли растут за счёт импортозамещения и госпрограмм локализации — субсидии и таможенные льготы на оборудование для локализуемых производств стоит проверять по актуальному перечню Мининвестпрома на момент запуска.</w:t>
      </w:r>
    </w:p>
    <w:p>
      <w:pPr>
        <w:pStyle w:val="ListParagraph"/>
        <w:numPr>
          <w:ilvl w:val="0"/>
          <w:numId w:val="1"/>
        </w:numPr>
      </w:pPr>
      <w:r>
        <w:t>[Впишите] Объём и динамику конкретного продуктового сегмента, ключевых конкурентов и их долю рынка — эти данные лучше собрать под конкретный продукт (отраслевая статистика Госкомстата, отраслевые ассоциации, таможенная статистика).</w:t>
      </w:r>
    </w:p>
    <w:p>
      <w:pPr>
        <w:pStyle w:val="Heading3"/>
        <ck:id v="section-1"/>
      </w:pPr>
      <w:bookmarkStart w:id="4" w:name="section_1"/>
      <w:r>
        <w:t>Конкуренты</w:t>
      </w:r>
      <w:bookmarkEnd w:id="4"/>
    </w:p>
    <w:p>
      <w:r>
        <w:t>[Впишите] Список из 3-5 прямых конкурентов, их сильные и слабые стороны, чем вы отличаетесь.</w:t>
      </w:r>
    </w:p>
    <w:p>
      <w:pPr>
        <w:pStyle w:val="Heading3"/>
        <ck:id v="section-2"/>
      </w:pPr>
      <w:bookmarkStart w:id="5" w:name="section_2"/>
      <w:r>
        <w:t>Целевая аудитория</w:t>
      </w:r>
      <w:bookmarkEnd w:id="5"/>
    </w:p>
    <w:p>
      <w:r>
        <w:t>[Впишите] Портрет основного клиента: кто он, что для него важно при выборе, где его найти.</w:t>
      </w:r>
    </w:p>
    <w:p>
      <w:pPr>
        <w:pStyle w:val="Heading2"/>
        <ck:id v="marketing"/>
      </w:pPr>
      <w:bookmarkStart w:id="6" w:name="marketing"/>
      <w:r>
        <w:t>Маркетинговый план</w:t>
      </w:r>
      <w:bookmarkEnd w:id="6"/>
    </w:p>
    <w:sdt>
      <w:sdtPr>
        <w:tag w:val="clarkdown:div"/>
        <ck:div v="|panel|"/>
      </w:sdtPr>
      <w:sdtContent>
        <w:tbl>
          <w:tblPr>
            <w:tblW w:w="5000" w:type="pct"/>
            <w:tblBorders>
              <w:top w:val="none"/>
              <w:left w:val="none"/>
              <w:bottom w:val="none"/>
              <w:right w:val="none"/>
              <w:insideH w:val="none"/>
              <w:insideV w:val="none"/>
            </w:tblBorders>
            <w:tblCellMar>
              <w:top w:w="320" w:type="dxa"/>
              <w:left w:w="240" w:type="dxa"/>
              <w:bottom w:w="320" w:type="dxa"/>
              <w:right w:w="240" w:type="dxa"/>
            </w:tblCellMar>
          </w:tblPr>
          <w:tblGrid>
            <w:gridCol/>
          </w:tblGrid>
          <w:tr>
            <w:tc>
              <w:tcPr>
                <w:shd w:val="clear" w:fill="E4E4E4"/>
              </w:tcPr>
              <w:p>
                <w:r>
                  <w:rPr>
                    <w:rStyle w:val="CkKicker"/>
                  </w:rPr>
                  <w:t>ПРИМЕР</w:t>
                </w:r>
              </w:p>
              <w:p>
                <w:r>
                  <w:t>Цена — на 10-15% ниже турецких аналогов за счёт местного сырья; продажи через прямые контракты с 3 оптовыми сетями в Казахстане и участие в отраслевых выставках (Uzbekistan Textile Expo); первые заказы — через существующие связи владельца в отрасли и каталог на B2B-платформах.</w:t>
                </w:r>
              </w:p>
            </w:tc>
          </w:tr>
        </w:tbl>
      </w:sdtContent>
    </w:sdt>
    <w:p>
      <w:r>
        <w:t>[Впишите] Ценообразование, каналы продвижения и продаж, план привлечения первых клиентов.</w:t>
      </w:r>
    </w:p>
    <w:p>
      <w:pPr>
        <w:pStyle w:val="Heading2"/>
        <ck:id v="operations"/>
      </w:pPr>
      <w:bookmarkStart w:id="7" w:name="operations"/>
      <w:r>
        <w:t>Операционный план</w:t>
      </w:r>
      <w:bookmarkEnd w:id="7"/>
    </w:p>
    <w:sdt>
      <w:sdtPr>
        <w:tag w:val="clarkdown:div"/>
        <ck:div v="|panel|"/>
      </w:sdtPr>
      <w:sdtContent>
        <w:tbl>
          <w:tblPr>
            <w:tblW w:w="5000" w:type="pct"/>
            <w:tblBorders>
              <w:top w:val="none"/>
              <w:left w:val="none"/>
              <w:bottom w:val="none"/>
              <w:right w:val="none"/>
              <w:insideH w:val="none"/>
              <w:insideV w:val="none"/>
            </w:tblBorders>
            <w:tblCellMar>
              <w:top w:w="320" w:type="dxa"/>
              <w:left w:w="240" w:type="dxa"/>
              <w:bottom w:w="320" w:type="dxa"/>
              <w:right w:w="240" w:type="dxa"/>
            </w:tblCellMar>
          </w:tblPr>
          <w:tblGrid>
            <w:gridCol/>
          </w:tblGrid>
          <w:tr>
            <w:tc>
              <w:tcPr>
                <w:shd w:val="clear" w:fill="E4E4E4"/>
              </w:tcPr>
              <w:p>
                <w:r>
                  <w:rPr>
                    <w:rStyle w:val="CkKicker"/>
                  </w:rPr>
                  <w:t>ПРИМЕР</w:t>
                </w:r>
              </w:p>
              <w:p>
                <w:r>
                  <w:t>Цикл: приём пряжи от кластера → вязка полотна → раскрой → пошив → упаковка → отгрузка. Ключевой поставщик сырья — местный хлопково-текстильный кластер по долгосрочному договору. Необходимые разрешения: сертификат соответствия на продукцию, при экспорте — сертификат происхождения товара.</w:t>
                </w:r>
              </w:p>
            </w:tc>
          </w:tr>
        </w:tbl>
      </w:sdtContent>
    </w:sdt>
    <w:p>
      <w:r>
        <w:t>[Впишите] Процесс производства/оказания услуги, ключевые поставщики, оборудование, необходимые лицензии и разрешения.</w:t>
      </w:r>
    </w:p>
    <w:p>
      <w:pPr>
        <w:pStyle w:val="Heading2"/>
        <ck:id v="org"/>
      </w:pPr>
      <w:bookmarkStart w:id="8" w:name="org"/>
      <w:r>
        <w:t>Организационный план</w:t>
      </w:r>
      <w:bookmarkEnd w:id="8"/>
    </w:p>
    <w:sdt>
      <w:sdtPr>
        <w:tag w:val="clarkdown:div"/>
        <ck:div v="|panel|"/>
      </w:sdtPr>
      <w:sdtContent>
        <w:tbl>
          <w:tblPr>
            <w:tblW w:w="5000" w:type="pct"/>
            <w:tblBorders>
              <w:top w:val="none"/>
              <w:left w:val="none"/>
              <w:bottom w:val="none"/>
              <w:right w:val="none"/>
              <w:insideH w:val="none"/>
              <w:insideV w:val="none"/>
            </w:tblBorders>
            <w:tblCellMar>
              <w:top w:w="320" w:type="dxa"/>
              <w:left w:w="240" w:type="dxa"/>
              <w:bottom w:w="320" w:type="dxa"/>
              <w:right w:w="240" w:type="dxa"/>
            </w:tblCellMar>
          </w:tblPr>
          <w:tblGrid>
            <w:gridCol/>
          </w:tblGrid>
          <w:tr>
            <w:tc>
              <w:tcPr>
                <w:shd w:val="clear" w:fill="E4E4E4"/>
              </w:tcPr>
              <w:p>
                <w:r>
                  <w:rPr>
                    <w:rStyle w:val="CkKicker"/>
                  </w:rPr>
                  <w:t>ПРИМЕР</w:t>
                </w:r>
              </w:p>
              <w:p>
                <w:r>
                  <w:t>Директор-учредитель, технолог производства, 2 мастера смены, 36 швей, бухгалтер на аутсорсе. Форма — ООО (общество с ограниченной ответственностью), упрощённый налоговый режим на старте.</w:t>
                </w:r>
              </w:p>
            </w:tc>
          </w:tr>
        </w:tbl>
      </w:sdtContent>
    </w:sdt>
    <w:p>
      <w:r>
        <w:t>[Впишите] Команда и роли, штатное расписание, организационно-правовая форма.</w:t>
      </w:r>
    </w:p>
    <w:p>
      <w:pPr>
        <w:pStyle w:val="Heading2"/>
        <ck:id v="financial-example"/>
      </w:pPr>
      <w:bookmarkStart w:id="9" w:name="financial_example"/>
      <w:r>
        <w:t>Пример финансового расчёта</w:t>
      </w:r>
      <w:bookmarkEnd w:id="9"/>
    </w:p>
    <w:p>
      <w:r>
        <w:rPr>
          <w:rStyle w:val="CkCaption"/>
          <w:i/>
        </w:rPr>
        <w:t>Ниже — полностью посчитанный пример для иллюстративной компании из резюме, на основе рыночных ориентиров 2025-2026 года (аренда, зарплаты, цены на оборудование, налоги, ставки — со ссылкой на источник там, где он известен) и экспертных оценок порядка величины там, где точных данных нет (это отмечено в комментариях). Он показывает логику расчёта и реалистичный масштаб цифр — это не финансовая отчётность и не готовая заявка на кредит. Тот же расчёт с рабочими формулами — в Excel-файле с тем же названием; замените суммы там на данные своего проекта, и всё пересчитается автоматически.</w:t>
      </w:r>
    </w:p>
    <w:p>
      <w:r>
        <w:rPr>
          <w:b/>
        </w:rPr>
        <w:t>Стартовые затраты (единоразово)</w:t>
      </w:r>
    </w:p>
    <w:tbl>
      <w:tblPr>
        <w:tblStyle w:val="CkTable"/>
        <w:tblW w:w="0" w:type="auto"/>
        <w:tblLayout w:type="autofit"/>
        <w:tblLook w:firstRow="1" w:lastRow="0" w:firstColumn="0" w:lastColumn="0" w:noHBand="0" w:noVBand="1"/>
      </w:tblPr>
      <w:tblGrid>
        <w:gridCol/>
        <w:gridCol/>
        <w:gridCol/>
      </w:tblGrid>
      <w:tr>
        <w:trPr>
          <w:tblHeader/>
        </w:trPr>
        <w:tc>
          <w:tcPr/>
          <w:p>
            <w:r>
              <w:rPr>
                <w:b/>
              </w:rPr>
              <w:t>Статья</w:t>
            </w:r>
          </w:p>
        </w:tc>
        <w:tc>
          <w:tcPr/>
          <w:p>
            <w:r>
              <w:rPr>
                <w:b/>
              </w:rPr>
              <w:t>Сумма, сум</w:t>
            </w:r>
          </w:p>
        </w:tc>
        <w:tc>
          <w:tcPr/>
          <w:p>
            <w:r>
              <w:rPr>
                <w:b/>
              </w:rPr>
              <w:t>Комментарий</w:t>
            </w:r>
          </w:p>
        </w:tc>
      </w:tr>
      <w:tr>
        <w:tc>
          <w:tcPr/>
          <w:p>
            <w:r>
              <w:t>Аренда/ремонт производственного помещения</w:t>
            </w:r>
          </w:p>
        </w:tc>
        <w:tc>
          <w:tcPr/>
          <w:p>
            <w:r>
              <w:t>130 000 000</w:t>
            </w:r>
          </w:p>
        </w:tc>
        <w:tc>
          <w:tcPr/>
          <w:p>
            <w:r>
              <w:t>оценка: ремонт цеха ~800-1000 м² в Ферганской обл. + депозит; пром. аренда в регионах в 2-3 раза ниже ташкентской</w:t>
            </w:r>
          </w:p>
        </w:tc>
      </w:tr>
      <w:tr>
        <w:tc>
          <w:tcPr/>
          <w:p>
            <w:r>
              <w:t>Оборудование (станки, швейные/вязальные линии)</w:t>
            </w:r>
          </w:p>
        </w:tc>
        <w:tc>
          <w:tcPr/>
          <w:p>
            <w:r>
              <w:t>400 000 000</w:t>
            </w:r>
          </w:p>
        </w:tc>
        <w:tc>
          <w:tcPr/>
          <w:p>
            <w:r>
              <w:t>оценка: ~45 промышленных швейных машин (~6 млн сум/шт с доставкой) + 2-3 кругловязальные машины + раскройное/утюжильное оборудование</w:t>
            </w:r>
          </w:p>
        </w:tc>
      </w:tr>
      <w:tr>
        <w:tc>
          <w:tcPr/>
          <w:p>
            <w:r>
              <w:t>Сырьё на первую партию</w:t>
            </w:r>
          </w:p>
        </w:tc>
        <w:tc>
          <w:tcPr/>
          <w:p>
            <w:r>
              <w:t>160 000 000</w:t>
            </w:r>
          </w:p>
        </w:tc>
        <w:tc>
          <w:tcPr/>
          <w:p>
            <w:r>
              <w:t>оценка: запас пряжи на ~1 мес. производства при доле сырья ~42% в себестоимости</w:t>
            </w:r>
          </w:p>
        </w:tc>
      </w:tr>
      <w:tr>
        <w:tc>
          <w:tcPr/>
          <w:p>
            <w:r>
              <w:t>Регистрация юрлица и разрешения</w:t>
            </w:r>
          </w:p>
        </w:tc>
        <w:tc>
          <w:tcPr/>
          <w:p>
            <w:r>
              <w:t>5 000 000</w:t>
            </w:r>
          </w:p>
        </w:tc>
        <w:tc>
          <w:tcPr/>
          <w:p>
            <w:r>
              <w:t>оценка: госпошлины за регистрацию ООО, разрешения СЭС и пожарного надзора</w:t>
            </w:r>
          </w:p>
        </w:tc>
      </w:tr>
      <w:tr>
        <w:tc>
          <w:tcPr/>
          <w:p>
            <w:r>
              <w:t>Спецодежда и охрана труда</w:t>
            </w:r>
          </w:p>
        </w:tc>
        <w:tc>
          <w:tcPr/>
          <w:p>
            <w:r>
              <w:t>17 000 000</w:t>
            </w:r>
          </w:p>
        </w:tc>
        <w:tc>
          <w:tcPr/>
          <w:p>
            <w:r>
              <w:t>оценка: комплекты на 40+ работников (~300 тыс. сум/компл.) + средства охраны труда</w:t>
            </w:r>
          </w:p>
        </w:tc>
      </w:tr>
      <w:tr>
        <w:tc>
          <w:tcPr/>
          <w:p>
            <w:r>
              <w:t>Пусконаладка и обучение персонала работе на оборудовании</w:t>
            </w:r>
          </w:p>
        </w:tc>
        <w:tc>
          <w:tcPr/>
          <w:p>
            <w:r>
              <w:t>15 000 000</w:t>
            </w:r>
          </w:p>
        </w:tc>
        <w:tc>
          <w:tcPr/>
          <w:p>
            <w:r>
              <w:t>оценка: шеф-монтаж линий поставщиком и обучение персонала</w:t>
            </w:r>
          </w:p>
        </w:tc>
      </w:tr>
      <w:tr>
        <w:tc>
          <w:tcPr/>
          <w:p>
            <w:r>
              <w:t>Оборотный капитал на первые 1-2 месяца</w:t>
            </w:r>
          </w:p>
        </w:tc>
        <w:tc>
          <w:tcPr/>
          <w:p>
            <w:r>
              <w:t>120 000 000</w:t>
            </w:r>
          </w:p>
        </w:tc>
        <w:tc>
          <w:tcPr/>
          <w:p>
            <w:r>
              <w:t>оценка: ФОТ, аренда и текущие расходы до первых оплат от покупателей</w:t>
            </w:r>
          </w:p>
        </w:tc>
      </w:tr>
      <w:tr>
        <w:tc>
          <w:tcPr/>
          <w:p>
            <w:r>
              <w:rPr>
                <w:b/>
              </w:rPr>
              <w:t>Итого стартовые затраты</w:t>
            </w:r>
          </w:p>
        </w:tc>
        <w:tc>
          <w:tcPr/>
          <w:p>
            <w:r>
              <w:rPr>
                <w:b/>
              </w:rPr>
              <w:t>847 000 000</w:t>
            </w:r>
          </w:p>
        </w:tc>
        <w:tc>
          <w:tcPr/>
          <w:p/>
        </w:tc>
      </w:tr>
    </w:tbl>
    <w:p>
      <w:r>
        <w:rPr>
          <w:b/>
        </w:rPr>
        <w:t>Ежемесячная выручка</w:t>
      </w:r>
    </w:p>
    <w:tbl>
      <w:tblPr>
        <w:tblStyle w:val="CkTable"/>
        <w:tblW w:w="0" w:type="auto"/>
        <w:tblLayout w:type="autofit"/>
        <w:tblLook w:firstRow="1" w:lastRow="0" w:firstColumn="0" w:lastColumn="0" w:noHBand="0" w:noVBand="1"/>
      </w:tblPr>
      <w:tblGrid>
        <w:gridCol/>
        <w:gridCol/>
        <w:gridCol/>
      </w:tblGrid>
      <w:tr>
        <w:trPr>
          <w:tblHeader/>
        </w:trPr>
        <w:tc>
          <w:tcPr/>
          <w:p>
            <w:r>
              <w:rPr>
                <w:b/>
              </w:rPr>
              <w:t>Статья</w:t>
            </w:r>
          </w:p>
        </w:tc>
        <w:tc>
          <w:tcPr/>
          <w:p>
            <w:r>
              <w:rPr>
                <w:b/>
              </w:rPr>
              <w:t>Сумма, сум</w:t>
            </w:r>
          </w:p>
        </w:tc>
        <w:tc>
          <w:tcPr/>
          <w:p>
            <w:r>
              <w:rPr>
                <w:b/>
              </w:rPr>
              <w:t>Комментарий</w:t>
            </w:r>
          </w:p>
        </w:tc>
      </w:tr>
      <w:tr>
        <w:tc>
          <w:tcPr/>
          <w:p>
            <w:r>
              <w:t>Оптовые продажи</w:t>
            </w:r>
          </w:p>
        </w:tc>
        <w:tc>
          <w:tcPr/>
          <w:p>
            <w:r>
              <w:t>171 500 000</w:t>
            </w:r>
          </w:p>
        </w:tc>
        <w:tc>
          <w:tcPr/>
          <w:p>
            <w:r>
              <w:t>35% от выручки — оценка структуры сбыта на внутреннем рынке</w:t>
            </w:r>
          </w:p>
        </w:tc>
      </w:tr>
      <w:tr>
        <w:tc>
          <w:tcPr/>
          <w:p>
            <w:r>
              <w:t>Розничные продажи / маркетплейсы</w:t>
            </w:r>
          </w:p>
        </w:tc>
        <w:tc>
          <w:tcPr/>
          <w:p>
            <w:r>
              <w:t>49 000 000</w:t>
            </w:r>
          </w:p>
        </w:tc>
        <w:tc>
          <w:tcPr/>
          <w:p>
            <w:r>
              <w:t>10% от выручки — оценка доли прямых продаж (Uzum Market и аналоги)</w:t>
            </w:r>
          </w:p>
        </w:tc>
      </w:tr>
      <w:tr>
        <w:tc>
          <w:tcPr/>
          <w:p>
            <w:r>
              <w:t>Экспортные поставки</w:t>
            </w:r>
          </w:p>
        </w:tc>
        <w:tc>
          <w:tcPr/>
          <w:p>
            <w:r>
              <w:t>220 500 000</w:t>
            </w:r>
          </w:p>
        </w:tc>
        <w:tc>
          <w:tcPr/>
          <w:p>
            <w:r>
              <w:t>45% от выручки — экспорт в Казахстан и Россию облагается НДС по ставке 0%</w:t>
            </w:r>
          </w:p>
        </w:tc>
      </w:tr>
      <w:tr>
        <w:tc>
          <w:tcPr/>
          <w:p>
            <w:r>
              <w:t>Услуги давальческой переработки (толлинг)</w:t>
            </w:r>
          </w:p>
        </w:tc>
        <w:tc>
          <w:tcPr/>
          <w:p>
            <w:r>
              <w:t>49 000 000</w:t>
            </w:r>
          </w:p>
        </w:tc>
        <w:tc>
          <w:tcPr/>
          <w:p>
            <w:r>
              <w:t>10% от выручки — толлинговые заказы, распространённая практика в текстильном кластере Ферганской обл.</w:t>
            </w:r>
          </w:p>
        </w:tc>
      </w:tr>
      <w:tr>
        <w:tc>
          <w:tcPr/>
          <w:p>
            <w:r>
              <w:rPr>
                <w:b/>
              </w:rPr>
              <w:t>Итого выручка/мес</w:t>
            </w:r>
          </w:p>
        </w:tc>
        <w:tc>
          <w:tcPr/>
          <w:p>
            <w:r>
              <w:rPr>
                <w:b/>
              </w:rPr>
              <w:t>490 000 000</w:t>
            </w:r>
          </w:p>
        </w:tc>
        <w:tc>
          <w:tcPr/>
          <w:p/>
        </w:tc>
      </w:tr>
    </w:tbl>
    <w:p>
      <w:r>
        <w:rPr>
          <w:b/>
        </w:rPr>
        <w:t>Ежемесячные операционные расходы</w:t>
      </w:r>
    </w:p>
    <w:tbl>
      <w:tblPr>
        <w:tblStyle w:val="CkTable"/>
        <w:tblW w:w="0" w:type="auto"/>
        <w:tblLayout w:type="autofit"/>
        <w:tblLook w:firstRow="1" w:lastRow="0" w:firstColumn="0" w:lastColumn="0" w:noHBand="0" w:noVBand="1"/>
      </w:tblPr>
      <w:tblGrid>
        <w:gridCol/>
        <w:gridCol/>
        <w:gridCol/>
      </w:tblGrid>
      <w:tr>
        <w:trPr>
          <w:tblHeader/>
        </w:trPr>
        <w:tc>
          <w:tcPr/>
          <w:p>
            <w:r>
              <w:rPr>
                <w:b/>
              </w:rPr>
              <w:t>Статья</w:t>
            </w:r>
          </w:p>
        </w:tc>
        <w:tc>
          <w:tcPr/>
          <w:p>
            <w:r>
              <w:rPr>
                <w:b/>
              </w:rPr>
              <w:t>Сумма, сум</w:t>
            </w:r>
          </w:p>
        </w:tc>
        <w:tc>
          <w:tcPr/>
          <w:p>
            <w:r>
              <w:rPr>
                <w:b/>
              </w:rPr>
              <w:t>Комментарий</w:t>
            </w:r>
          </w:p>
        </w:tc>
      </w:tr>
      <w:tr>
        <w:tc>
          <w:tcPr/>
          <w:p>
            <w:r>
              <w:t>Аренда помещения</w:t>
            </w:r>
          </w:p>
        </w:tc>
        <w:tc>
          <w:tcPr/>
          <w:p>
            <w:r>
              <w:t>16 000 000</w:t>
            </w:r>
          </w:p>
        </w:tc>
        <w:tc>
          <w:tcPr/>
          <w:p>
            <w:r>
              <w:t>оценка: ~800 м² по ~20 тыс. сум/м²/мес — ориентир для промышленной недвижимости в регионе</w:t>
            </w:r>
          </w:p>
        </w:tc>
      </w:tr>
      <w:tr>
        <w:tc>
          <w:tcPr/>
          <w:p>
            <w:r>
              <w:t>ФОТ производственного персонала</w:t>
            </w:r>
          </w:p>
        </w:tc>
        <w:tc>
          <w:tcPr/>
          <w:p>
            <w:r>
              <w:t>156 500 000</w:t>
            </w:r>
          </w:p>
        </w:tc>
        <w:tc>
          <w:tcPr/>
          <w:p>
            <w:r>
              <w:t>40 швей + технолог + 2 мастера + директор + бухгалтер на аутсорсе; ориентир — средняя зарплата по Ферганской обл. ~4,73 млн сум/мес</w:t>
            </w:r>
          </w:p>
        </w:tc>
      </w:tr>
      <w:tr>
        <w:tc>
          <w:tcPr/>
          <w:p>
            <w:r>
              <w:t>Сырьё и материалы</w:t>
            </w:r>
          </w:p>
        </w:tc>
        <w:tc>
          <w:tcPr/>
          <w:p>
            <w:r>
              <w:t>205 800 000</w:t>
            </w:r>
          </w:p>
        </w:tc>
        <w:tc>
          <w:tcPr/>
          <w:p>
            <w:r>
              <w:t>~42% от выручки — типовая доля материальных затрат в себестоимости трикотажного производства</w:t>
            </w:r>
          </w:p>
        </w:tc>
      </w:tr>
      <w:tr>
        <w:tc>
          <w:tcPr/>
          <w:p>
            <w:r>
              <w:t>Электроэнергия и коммунальные услуги</w:t>
            </w:r>
          </w:p>
        </w:tc>
        <w:tc>
          <w:tcPr/>
          <w:p>
            <w:r>
              <w:t>15 000 000</w:t>
            </w:r>
          </w:p>
        </w:tc>
        <w:tc>
          <w:tcPr/>
          <w:p>
            <w:r>
              <w:t>оценка для цеха с ~40 швейными машинами и вязальными линиями</w:t>
            </w:r>
          </w:p>
        </w:tc>
      </w:tr>
      <w:tr>
        <w:tc>
          <w:tcPr/>
          <w:p>
            <w:r>
              <w:t>Логистика и упаковка</w:t>
            </w:r>
          </w:p>
        </w:tc>
        <w:tc>
          <w:tcPr/>
          <w:p>
            <w:r>
              <w:t>14 700 000</w:t>
            </w:r>
          </w:p>
        </w:tc>
        <w:tc>
          <w:tcPr/>
          <w:p>
            <w:r>
              <w:t>~3% от выручки — упаковка и транспортировка, включая экспорт в РФ/КЗ</w:t>
            </w:r>
          </w:p>
        </w:tc>
      </w:tr>
      <w:tr>
        <w:tc>
          <w:tcPr/>
          <w:p>
            <w:r>
              <w:t>Сертификация и лабораторные испытания продукции</w:t>
            </w:r>
          </w:p>
        </w:tc>
        <w:tc>
          <w:tcPr/>
          <w:p>
            <w:r>
              <w:t>3 000 000</w:t>
            </w:r>
          </w:p>
        </w:tc>
        <w:tc>
          <w:tcPr/>
          <w:p>
            <w:r>
              <w:t>оценка: усреднённые ежемесячные расходы на сертификаты соответствия</w:t>
            </w:r>
          </w:p>
        </w:tc>
      </w:tr>
      <w:tr>
        <w:tc>
          <w:tcPr/>
          <w:p>
            <w:r>
              <w:t>Налоги</w:t>
            </w:r>
          </w:p>
        </w:tc>
        <w:tc>
          <w:tcPr/>
          <w:p>
            <w:r>
              <w:t>28 000 000</w:t>
            </w:r>
          </w:p>
        </w:tc>
        <w:tc>
          <w:tcPr/>
          <w:p>
            <w:r>
              <w:t>соц. налог 12% от ФОТ (2026 г.) + оценка налога на прибыль 15% + имущественный/земельный налог</w:t>
            </w:r>
          </w:p>
        </w:tc>
      </w:tr>
      <w:tr>
        <w:tc>
          <w:tcPr/>
          <w:p>
            <w:r>
              <w:t>Маркетинг и продвижение</w:t>
            </w:r>
          </w:p>
        </w:tc>
        <w:tc>
          <w:tcPr/>
          <w:p>
            <w:r>
              <w:t>5 000 000</w:t>
            </w:r>
          </w:p>
        </w:tc>
        <w:tc>
          <w:tcPr/>
          <w:p>
            <w:r>
              <w:t>оценка: продвижение на маркетплейсах и поиск оптовых/экспортных партнёров</w:t>
            </w:r>
          </w:p>
        </w:tc>
      </w:tr>
      <w:tr>
        <w:tc>
          <w:tcPr/>
          <w:p>
            <w:r>
              <w:rPr>
                <w:b/>
              </w:rPr>
              <w:t>Итого расходы/мес</w:t>
            </w:r>
          </w:p>
        </w:tc>
        <w:tc>
          <w:tcPr/>
          <w:p>
            <w:r>
              <w:rPr>
                <w:b/>
              </w:rPr>
              <w:t>444 000 000</w:t>
            </w:r>
          </w:p>
        </w:tc>
        <w:tc>
          <w:tcPr/>
          <w:p/>
        </w:tc>
      </w:tr>
    </w:tbl>
    <w:sdt>
      <w:sdtPr>
        <w:tag w:val="clarkdown:div"/>
        <ck:div v="|panel|"/>
      </w:sdtPr>
      <w:sdtContent>
        <w:tbl>
          <w:tblPr>
            <w:tblW w:w="5000" w:type="pct"/>
            <w:tblBorders>
              <w:top w:val="none"/>
              <w:left w:val="none"/>
              <w:bottom w:val="none"/>
              <w:right w:val="none"/>
              <w:insideH w:val="none"/>
              <w:insideV w:val="none"/>
            </w:tblBorders>
            <w:tblCellMar>
              <w:top w:w="320" w:type="dxa"/>
              <w:left w:w="240" w:type="dxa"/>
              <w:bottom w:w="320" w:type="dxa"/>
              <w:right w:w="240" w:type="dxa"/>
            </w:tblCellMar>
          </w:tblPr>
          <w:tblGrid>
            <w:gridCol/>
          </w:tblGrid>
          <w:tr>
            <w:tc>
              <w:tcPr>
                <w:shd w:val="clear" w:fill="E4E4E4"/>
              </w:tcPr>
              <w:p>
                <w:r>
                  <w:rPr>
                    <w:b/>
                  </w:rPr>
                  <w:t>Ежемесячная прибыль:</w:t>
                </w:r>
                <w:r>
                  <w:t xml:space="preserve"> 46 000 000 сум · </w:t>
                </w:r>
                <w:r>
                  <w:rPr>
                    <w:b/>
                  </w:rPr>
                  <w:t>Срок окупаемости:</w:t>
                </w:r>
                <w:r>
                  <w:t xml:space="preserve"> 18,4 мес. · </w:t>
                </w:r>
                <w:r>
                  <w:rPr>
                    <w:b/>
                  </w:rPr>
                  <w:t>Рентабельность продаж:</w:t>
                </w:r>
                <w:r>
                  <w:t xml:space="preserve"> 9,4%</w:t>
                </w:r>
              </w:p>
            </w:tc>
          </w:tr>
        </w:tbl>
      </w:sdtContent>
    </w:sdt>
    <w:p>
      <w:r>
        <w:rPr>
          <w:rStyle w:val="CkCaption"/>
          <w:i/>
        </w:rPr>
        <w:t>Как считался этот пример: Расчётная сумма стартовых затрат — 847 млн сум, практически совпадает с заявленными 850 млн. Расчётная прибыль ≈46 млн сум/мес даёт окупаемость ≈18,5 мес. — соответствует резюме.</w:t>
      </w:r>
    </w:p>
    <w:p>
      <w:r>
        <w:t>[Впишите] Пересчитайте таблицы выше на основе цен, ставок аренды/зарплат и объёмов продаж вашего проекта в вашем регионе.</w:t>
      </w:r>
    </w:p>
    <w:p>
      <w:pPr>
        <w:pStyle w:val="Heading2"/>
        <ck:id v="risks"/>
      </w:pPr>
      <w:bookmarkStart w:id="10" w:name="risks"/>
      <w:r>
        <w:t>Риски и меры по их снижению</w:t>
      </w:r>
      <w:bookmarkEnd w:id="10"/>
    </w:p>
    <w:tbl>
      <w:tblPr>
        <w:tblStyle w:val="CkTable"/>
        <w:tblW w:w="0" w:type="auto"/>
        <w:tblLayout w:type="autofit"/>
        <w:tblLook w:firstRow="1" w:lastRow="0" w:firstColumn="0" w:lastColumn="0" w:noHBand="0" w:noVBand="1"/>
      </w:tblPr>
      <w:tblGrid>
        <w:gridCol/>
        <w:gridCol/>
      </w:tblGrid>
      <w:tr>
        <w:trPr>
          <w:tblHeader/>
        </w:trPr>
        <w:tc>
          <w:tcPr/>
          <w:p>
            <w:r>
              <w:rPr>
                <w:b/>
              </w:rPr>
              <w:t>Риск</w:t>
            </w:r>
          </w:p>
        </w:tc>
        <w:tc>
          <w:tcPr/>
          <w:p>
            <w:r>
              <w:rPr>
                <w:b/>
              </w:rPr>
              <w:t>Меры снижения</w:t>
            </w:r>
          </w:p>
        </w:tc>
      </w:tr>
      <w:tr>
        <w:tc>
          <w:tcPr/>
          <w:p>
            <w:r>
              <w:t>Колебания курса при импорте оборудования и части фурнитуры</w:t>
            </w:r>
          </w:p>
        </w:tc>
        <w:tc>
          <w:tcPr/>
          <w:p>
            <w:r>
              <w:t>Фиксировать цены в договорах, закупать оборудование партиями, диверсифицировать поставщиков</w:t>
            </w:r>
          </w:p>
        </w:tc>
      </w:tr>
      <w:tr>
        <w:tc>
          <w:tcPr/>
          <w:p>
            <w:r>
              <w:t>Дефицит квалифицированных кадров (технологи, наладчики оборудования)</w:t>
            </w:r>
          </w:p>
        </w:tc>
        <w:tc>
          <w:tcPr/>
          <w:p>
            <w:r>
              <w:t>Обучение на месте, партнёрство с колледжами/техникумами, стажировки</w:t>
            </w:r>
          </w:p>
        </w:tc>
      </w:tr>
      <w:tr>
        <w:tc>
          <w:tcPr/>
          <w:p>
            <w:r>
              <w:t>Изменение экспортных пошлин, квот или условий преференциальных режимов (GSP+)</w:t>
            </w:r>
          </w:p>
        </w:tc>
        <w:tc>
          <w:tcPr/>
          <w:p>
            <w:r>
              <w:t>Мониторинг госпрограмм поддержки экспорта (Uzexport, торговые представительства), консультации с таможенными брокерами</w:t>
            </w:r>
          </w:p>
        </w:tc>
      </w:tr>
      <w:tr>
        <w:tc>
          <w:tcPr/>
          <w:p>
            <w:r>
              <w:t>Падение экспортных цен/спроса на внешних рынках (как в начале 2026 года)</w:t>
            </w:r>
          </w:p>
        </w:tc>
        <w:tc>
          <w:tcPr/>
          <w:p>
            <w:r>
              <w:t>Диверсификация рынков сбыта, часть продукции — на внутренний рынок и в страны СНГ</w:t>
            </w:r>
          </w:p>
        </w:tc>
      </w:tr>
      <w:tr>
        <w:tc>
          <w:tcPr/>
          <w:p>
            <w:r>
              <w:t>Рост цен на энергоносители и перебои электроснабжения на производстве</w:t>
            </w:r>
          </w:p>
        </w:tc>
        <w:tc>
          <w:tcPr/>
          <w:p>
            <w:r>
              <w:t>Энергоаудит, резервное электропитание для критичных узлов, энергоэффективное оборудование</w:t>
            </w:r>
          </w:p>
        </w:tc>
      </w:tr>
      <w:tr>
        <w:tc>
          <w:tcPr/>
          <w:p>
            <w:r>
              <w:t>Задержки поставок сырья от кластера/поставщиков в пиковый сезон</w:t>
            </w:r>
          </w:p>
        </w:tc>
        <w:tc>
          <w:tcPr/>
          <w:p>
            <w:r>
              <w:t>Страховой запас сырья на 1-2 месяца, альтернативные поставщики</w:t>
            </w:r>
          </w:p>
        </w:tc>
      </w:tr>
    </w:tbl>
    <w:p>
      <w:r>
        <w:t>[Впишите] Дополните таблицу своими рисками, специфичными для вашего проекта и региона.</w:t>
      </w:r>
    </w:p>
    <w:sectPr>
      <ck:section v="1:||margins=1.1in,size=letter"/>
      <w:footerReference w:type="default" r:id="rIdHf1"/>
      <w:pgSz w:w="12240" w:h="15840"/>
      <w:pgMar w:top="1584" w:right="1584" w:bottom="1584" w:left="1584" w:header="720" w:footer="720" w:gutter="0"/>
    </w:sectPr>
  </w:body>
</w:document>
</file>

<file path=word/fontTable.xml><?xml version="1.0" encoding="utf-8"?>
<w:fonts xmlns:w="http://schemas.openxmlformats.org/wordprocessingml/2006/main">
  <w:font w:name="Cambria">
    <w:family w:val="roman"/>
  </w:font>
  <w:font w:name="Consolas">
    <w:family w:val="modern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m="http://schemas.openxmlformats.org/officeDocument/2006/math" xmlns:mc="http://schemas.openxmlformats.org/markup-compatibility/2006" xmlns:ck="urn:clarkdown:docx" mc:Ignorable="ck">
  <w:sdt>
    <w:sdtPr>
      <w:tag w:val="clarkdown:div"/>
      <ck:div v="||text-align=center"/>
    </w:sdtPr>
    <w:sdtContent>
      <w:p>
        <w:pPr>
          <w:jc w:val="center"/>
        </w:pPr>
        <w:r>
          <w:t xml:space="preserve">MoliyaHub · </w:t>
        </w:r>
        <w:fldSimple w:instr="PAGE">
          <w:r>
            <w:t>1</w:t>
          </w:r>
        </w:fldSimple>
      </w:p>
    </w:sdtContent>
  </w:sdt>
</w:ftr>
</file>

<file path=word/numbering.xml><?xml version="1.0" encoding="utf-8"?>
<w:numbering xmlns:w="http://schemas.openxmlformats.org/wordprocessingml/2006/main"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1."/>
      <w:lvlJc w:val="left"/>
      <w:pPr>
        <w:ind w:left="2880" w:hanging="360"/>
      </w:pPr>
    </w:lvl>
    <w:lvl w:ilvl="4">
      <w:start w:val="1"/>
      <w:numFmt w:val="decimal"/>
      <w:lvlText w:val="%2."/>
      <w:lvlJc w:val="left"/>
      <w:pPr>
        <w:ind w:left="3600" w:hanging="360"/>
      </w:pPr>
    </w:lvl>
    <w:lvl w:ilvl="5">
      <w:start w:val="1"/>
      <w:numFmt w:val="decimal"/>
      <w:lvlText w:val="%3."/>
      <w:lvlJc w:val="left"/>
      <w:pPr>
        <w:ind w:left="4320" w:hanging="360"/>
      </w:pPr>
    </w:lvl>
    <w:lvl w:ilvl="6">
      <w:start w:val="1"/>
      <w:numFmt w:val="decimal"/>
      <w:lvlText w:val="%1."/>
      <w:lvlJc w:val="left"/>
      <w:pPr>
        <w:ind w:left="5040" w:hanging="360"/>
      </w:pPr>
    </w:lvl>
    <w:lvl w:ilvl="7">
      <w:start w:val="1"/>
      <w:numFmt w:val="decimal"/>
      <w:lvlText w:val="%2."/>
      <w:lvlJc w:val="left"/>
      <w:pPr>
        <w:ind w:left="5760" w:hanging="360"/>
      </w:pPr>
    </w:lvl>
    <w:lvl w:ilvl="8">
      <w:start w:val="1"/>
      <w:numFmt w:val="decimal"/>
      <w:lvlText w:val="%3."/>
      <w:lvlJc w:val="left"/>
      <w:pPr>
        <w:ind w:left="6480" w:hanging="360"/>
      </w:pPr>
    </w:lvl>
  </w:abstractNum>
  <w:abstractNum w:abstractNumId="3">
    <w:multiLevelType w:val="hybridMultilevel"/>
    <w:lvl w:ilvl="0">
      <w:start w:val="1"/>
      <w:numFmt w:val="bullet"/>
      <w:lvlText w:val="☐"/>
      <w:lvlJc w:val="left"/>
      <w:pPr>
        <w:ind w:left="720" w:hanging="360"/>
      </w:pPr>
    </w:lvl>
    <w:lvl w:ilvl="1">
      <w:start w:val="1"/>
      <w:numFmt w:val="bullet"/>
      <w:lvlText w:val="☐"/>
      <w:lvlJc w:val="left"/>
      <w:pPr>
        <w:ind w:left="1440" w:hanging="360"/>
      </w:pPr>
    </w:lvl>
    <w:lvl w:ilvl="2">
      <w:start w:val="1"/>
      <w:numFmt w:val="bullet"/>
      <w:lvlText w:val="☐"/>
      <w:lvlJc w:val="left"/>
      <w:pPr>
        <w:ind w:left="2160" w:hanging="360"/>
      </w:pPr>
    </w:lvl>
    <w:lvl w:ilvl="3">
      <w:start w:val="1"/>
      <w:numFmt w:val="bullet"/>
      <w:lvlText w:val="☐"/>
      <w:lvlJc w:val="left"/>
      <w:pPr>
        <w:ind w:left="2880" w:hanging="360"/>
      </w:pPr>
    </w:lvl>
    <w:lvl w:ilvl="4">
      <w:start w:val="1"/>
      <w:numFmt w:val="bullet"/>
      <w:lvlText w:val="☐"/>
      <w:lvlJc w:val="left"/>
      <w:pPr>
        <w:ind w:left="3600" w:hanging="360"/>
      </w:pPr>
    </w:lvl>
    <w:lvl w:ilvl="5">
      <w:start w:val="1"/>
      <w:numFmt w:val="bullet"/>
      <w:lvlText w:val="☐"/>
      <w:lvlJc w:val="left"/>
      <w:pPr>
        <w:ind w:left="4320" w:hanging="360"/>
      </w:pPr>
    </w:lvl>
    <w:lvl w:ilvl="6">
      <w:start w:val="1"/>
      <w:numFmt w:val="bullet"/>
      <w:lvlText w:val="☐"/>
      <w:lvlJc w:val="left"/>
      <w:pPr>
        <w:ind w:left="5040" w:hanging="360"/>
      </w:pPr>
    </w:lvl>
    <w:lvl w:ilvl="7">
      <w:start w:val="1"/>
      <w:numFmt w:val="bullet"/>
      <w:lvlText w:val="☐"/>
      <w:lvlJc w:val="left"/>
      <w:pPr>
        <w:ind w:left="5760" w:hanging="360"/>
      </w:pPr>
    </w:lvl>
    <w:lvl w:ilvl="8">
      <w:start w:val="1"/>
      <w:numFmt w:val="bullet"/>
      <w:lvlText w:val="☐"/>
      <w:lvlJc w:val="left"/>
      <w:pPr>
        <w:ind w:left="6480" w:hanging="360"/>
      </w:pPr>
    </w:lvl>
  </w:abstractNum>
  <w:abstractNum w:abstractNumId="4">
    <w:multiLevelType w:val="hybridMultilevel"/>
    <w:lvl w:ilvl="0">
      <w:start w:val="1"/>
      <w:numFmt w:val="bullet"/>
      <w:lvlText w:val="☑"/>
      <w:lvlJc w:val="left"/>
      <w:pPr>
        <w:ind w:left="720" w:hanging="360"/>
      </w:pPr>
    </w:lvl>
    <w:lvl w:ilvl="1">
      <w:start w:val="1"/>
      <w:numFmt w:val="bullet"/>
      <w:lvlText w:val="☑"/>
      <w:lvlJc w:val="left"/>
      <w:pPr>
        <w:ind w:left="1440" w:hanging="360"/>
      </w:pPr>
    </w:lvl>
    <w:lvl w:ilvl="2">
      <w:start w:val="1"/>
      <w:numFmt w:val="bullet"/>
      <w:lvlText w:val="☑"/>
      <w:lvlJc w:val="left"/>
      <w:pPr>
        <w:ind w:left="2160" w:hanging="360"/>
      </w:pPr>
    </w:lvl>
    <w:lvl w:ilvl="3">
      <w:start w:val="1"/>
      <w:numFmt w:val="bullet"/>
      <w:lvlText w:val="☑"/>
      <w:lvlJc w:val="left"/>
      <w:pPr>
        <w:ind w:left="2880" w:hanging="360"/>
      </w:pPr>
    </w:lvl>
    <w:lvl w:ilvl="4">
      <w:start w:val="1"/>
      <w:numFmt w:val="bullet"/>
      <w:lvlText w:val="☑"/>
      <w:lvlJc w:val="left"/>
      <w:pPr>
        <w:ind w:left="3600" w:hanging="360"/>
      </w:pPr>
    </w:lvl>
    <w:lvl w:ilvl="5">
      <w:start w:val="1"/>
      <w:numFmt w:val="bullet"/>
      <w:lvlText w:val="☑"/>
      <w:lvlJc w:val="left"/>
      <w:pPr>
        <w:ind w:left="4320" w:hanging="360"/>
      </w:pPr>
    </w:lvl>
    <w:lvl w:ilvl="6">
      <w:start w:val="1"/>
      <w:numFmt w:val="bullet"/>
      <w:lvlText w:val="☑"/>
      <w:lvlJc w:val="left"/>
      <w:pPr>
        <w:ind w:left="5040" w:hanging="360"/>
      </w:pPr>
    </w:lvl>
    <w:lvl w:ilvl="7">
      <w:start w:val="1"/>
      <w:numFmt w:val="bullet"/>
      <w:lvlText w:val="☑"/>
      <w:lvlJc w:val="left"/>
      <w:pPr>
        <w:ind w:left="5760" w:hanging="360"/>
      </w:pPr>
    </w:lvl>
    <w:lvl w:ilvl="8">
      <w:start w:val="1"/>
      <w:numFmt w:val="bullet"/>
      <w:lvlText w:val="☑"/>
      <w:lvlJc w:val="left"/>
      <w:pPr>
        <w:ind w:left="6480" w:hanging="36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mbria" w:hAnsi="Cambria" w:cs="Cambria"/>
        <w:sz w:val="22"/>
        <w:szCs w:val="22"/>
        <w:lang w:val="en-US"/>
      </w:rPr>
    </w:rPrDefault>
    <w:pPrDefault>
      <w:pPr>
        <w:spacing w:after="160" w:line="312" w:lineRule="auto"/>
      </w:pPr>
    </w:pPrDefault>
  </w:docDefaults>
  <w:style w:type="paragraph" w:styleId="Normal" w:default="1">
    <w:name w:val="Normal"/>
  </w:style>
  <w:style w:type="paragraph" w:styleId="Heading1" w:default="0">
    <w:name w:val="heading 1"/>
    <w:basedOn w:val="Normal"/>
    <w:next w:val="Normal"/>
    <w:pPr>
      <w:keepNext/>
      <w:keepLines/>
      <w:spacing w:before="320" w:line="264" w:lineRule="auto"/>
      <w:outlineLvl w:val="0"/>
    </w:pPr>
    <w:rPr>
      <w:rFonts w:ascii="Cambria" w:hAnsi="Cambria"/>
      <w:b/>
      <w:color w:val="1A1A1A"/>
      <w:sz w:val="38"/>
      <w:szCs w:val="38"/>
    </w:rPr>
  </w:style>
  <w:style w:type="paragraph" w:styleId="Heading2" w:default="0">
    <w:name w:val="heading 2"/>
    <w:basedOn w:val="Normal"/>
    <w:next w:val="Normal"/>
    <w:pPr>
      <w:keepNext/>
      <w:keepLines/>
      <w:spacing w:before="320" w:line="264" w:lineRule="auto"/>
      <w:outlineLvl w:val="1"/>
    </w:pPr>
    <w:rPr>
      <w:rFonts w:ascii="Cambria" w:hAnsi="Cambria"/>
      <w:b/>
      <w:sz w:val="32"/>
      <w:szCs w:val="32"/>
    </w:rPr>
  </w:style>
  <w:style w:type="paragraph" w:styleId="Heading3" w:default="0">
    <w:name w:val="heading 3"/>
    <w:basedOn w:val="Normal"/>
    <w:next w:val="Normal"/>
    <w:pPr>
      <w:keepNext/>
      <w:keepLines/>
      <w:spacing w:before="160" w:line="264" w:lineRule="auto"/>
      <w:outlineLvl w:val="2"/>
    </w:pPr>
    <w:rPr>
      <w:rFonts w:ascii="Cambria" w:hAnsi="Cambria"/>
      <w:b/>
      <w:sz w:val="26"/>
      <w:szCs w:val="26"/>
    </w:rPr>
  </w:style>
  <w:style w:type="paragraph" w:styleId="Heading4" w:default="0">
    <w:name w:val="heading 4"/>
    <w:basedOn w:val="Normal"/>
    <w:next w:val="Normal"/>
    <w:pPr>
      <w:keepNext/>
      <w:keepLines/>
      <w:spacing w:before="160" w:line="264" w:lineRule="auto"/>
      <w:outlineLvl w:val="3"/>
    </w:pPr>
    <w:rPr>
      <w:rFonts w:ascii="Cambria" w:hAnsi="Cambria"/>
      <w:b/>
      <w:sz w:val="22"/>
      <w:szCs w:val="22"/>
    </w:rPr>
  </w:style>
  <w:style w:type="paragraph" w:styleId="Heading5" w:default="0">
    <w:name w:val="heading 5"/>
    <w:basedOn w:val="Normal"/>
    <w:next w:val="Normal"/>
    <w:pPr>
      <w:keepNext/>
      <w:keepLines/>
      <w:spacing w:before="160" w:line="264" w:lineRule="auto"/>
      <w:outlineLvl w:val="4"/>
    </w:pPr>
    <w:rPr>
      <w:rFonts w:ascii="Cambria" w:hAnsi="Cambria"/>
      <w:b/>
      <w:sz w:val="22"/>
      <w:szCs w:val="22"/>
    </w:rPr>
  </w:style>
  <w:style w:type="paragraph" w:styleId="Heading6" w:default="0">
    <w:name w:val="heading 6"/>
    <w:basedOn w:val="Normal"/>
    <w:next w:val="Normal"/>
    <w:pPr>
      <w:keepNext/>
      <w:keepLines/>
      <w:spacing w:before="160" w:line="264" w:lineRule="auto"/>
      <w:outlineLvl w:val="5"/>
    </w:pPr>
    <w:rPr>
      <w:rFonts w:ascii="Cambria" w:hAnsi="Cambria"/>
      <w:b/>
      <w:sz w:val="22"/>
      <w:szCs w:val="22"/>
    </w:rPr>
  </w:style>
  <w:style w:type="paragraph" w:styleId="Quote" w:default="0">
    <w:name w:val="Quote"/>
    <w:basedOn w:val="Normal"/>
    <w:pPr>
      <w:ind w:left="320"/>
      <w:pBdr>
        <w:left w:val="single" w:sz="24" w:space="12" w:color="BFBFBF"/>
      </w:pBdr>
    </w:pPr>
    <w:rPr>
      <w:i/>
      <w:color w:val="595959"/>
    </w:rPr>
  </w:style>
  <w:style w:type="character" w:styleId="CkHighlight">
    <w:name w:val="Clarkdown Highlight"/>
    <w:rPr>
      <w:shd w:val="clear" w:fill="FFF2A8"/>
    </w:rPr>
  </w:style>
  <w:style w:type="character" w:styleId="CkSmallcaps">
    <w:name w:val="Clarkdown Smallcaps"/>
    <w:rPr>
      <w:smallCaps/>
    </w:rPr>
  </w:style>
  <w:style w:type="character" w:styleId="CkUnderline">
    <w:name w:val="Clarkdown Underline"/>
    <w:rPr>
      <w:u w:val="single"/>
    </w:rPr>
  </w:style>
  <w:style w:type="character" w:styleId="CkMuted">
    <w:name w:val="Clarkdown Muted"/>
    <w:rPr>
      <w:color w:val="595959"/>
    </w:rPr>
  </w:style>
  <w:style w:type="character" w:styleId="CkAccent">
    <w:name w:val="Clarkdown Accent"/>
    <w:rPr>
      <w:color w:val="1A1A1A"/>
    </w:rPr>
  </w:style>
  <w:style w:type="character" w:styleId="CkCaption">
    <w:name w:val="Clarkdown Caption"/>
    <w:rPr>
      <w:i/>
      <w:color w:val="595959"/>
      <w:sz w:val="20"/>
      <w:szCs w:val="20"/>
    </w:rPr>
  </w:style>
  <w:style w:type="paragraph" w:styleId="CkDisplay" w:default="0">
    <w:name w:val="Clarkdown Display"/>
    <w:basedOn w:val="Normal"/>
    <w:next w:val="Normal"/>
    <w:pPr>
      <w:keepNext/>
      <w:keepLines/>
      <w:spacing w:after="240" w:line="264" w:lineRule="auto"/>
    </w:pPr>
    <w:rPr>
      <w:rFonts w:ascii="Cambria" w:hAnsi="Cambria"/>
      <w:b/>
      <w:color w:val="1A1A1A"/>
      <w:sz w:val="132"/>
      <w:szCs w:val="132"/>
    </w:rPr>
  </w:style>
  <w:style w:type="character" w:styleId="CkKicker">
    <w:name w:val="Clarkdown Kicker"/>
    <w:rPr>
      <w:smallCaps/>
      <w:spacing w:val="18"/>
      <w:color w:val="595959"/>
    </w:rPr>
  </w:style>
  <w:style w:type="paragraph" w:styleId="CkTrackedCaps" w:default="0">
    <w:name w:val="Clarkdown Tracked Caps"/>
    <w:basedOn w:val="Normal"/>
    <w:next w:val="Normal"/>
    <w:rPr>
      <w:smallCaps/>
      <w:spacing w:val="18"/>
    </w:rPr>
  </w:style>
  <w:style w:type="paragraph" w:styleId="Title" w:default="0">
    <w:name w:val="Title"/>
    <w:basedOn w:val="Normal"/>
    <w:next w:val="Normal"/>
    <w:pPr>
      <w:keepNext/>
      <w:keepLines/>
      <w:spacing w:after="240" w:line="264" w:lineRule="auto"/>
    </w:pPr>
    <w:rPr>
      <w:rFonts w:ascii="Cambria" w:hAnsi="Cambria"/>
      <w:b/>
      <w:sz w:val="46"/>
      <w:szCs w:val="46"/>
    </w:rPr>
  </w:style>
  <w:style w:type="character" w:styleId="Hyperlink">
    <w:name w:val="Hyperlink"/>
    <w:rPr>
      <w:color w:val="1A1A1A"/>
      <w:u w:val="single"/>
    </w:rPr>
  </w:style>
  <w:style w:type="paragraph" w:styleId="CkCodeBlock" w:default="0">
    <w:name w:val="Clarkdown Code Block"/>
    <w:basedOn w:val="Normal"/>
    <w:pPr>
      <w:shd w:val="clear" w:fill="EDEDED"/>
      <w:spacing w:after="0" w:line="240" w:lineRule="auto"/>
    </w:pPr>
    <w:rPr>
      <w:rFonts w:ascii="Consolas" w:hAnsi="Consolas"/>
      <w:noProof/>
      <w:sz w:val="20"/>
    </w:rPr>
  </w:style>
  <w:style w:type="character" w:styleId="CkCode">
    <w:name w:val="Clarkdown Code"/>
    <w:rPr>
      <w:rFonts w:ascii="Consolas" w:hAnsi="Consolas"/>
      <w:shd w:val="clear" w:fill="EDEDED"/>
      <w:sz w:val="20"/>
    </w:rPr>
  </w:style>
  <w:style w:type="paragraph" w:styleId="Caption" w:default="0">
    <w:name w:val="caption"/>
    <w:basedOn w:val="Normal"/>
    <w:rPr>
      <w:i/>
      <w:sz w:val="18"/>
    </w:rPr>
  </w:style>
  <w:style w:type="paragraph" w:styleId="ListParagraph" w:default="0">
    <w:name w:val="List Paragraph"/>
    <w:basedOn w:val="Normal"/>
    <w:pPr>
      <w:ind w:left="320"/>
    </w:pPr>
  </w:style>
  <w:style w:type="paragraph" w:styleId="CkUnknown" w:default="0">
    <w:name w:val="Clarkdown Unknown"/>
    <w:basedOn w:val="Normal"/>
    <w:pPr>
      <w:shd w:val="clear" w:fill="FFEEEE"/>
    </w:pPr>
  </w:style>
  <w:style w:type="paragraph" w:styleId="FootnoteText" w:default="0">
    <w:name w:val="footnote text"/>
    <w:basedOn w:val="Normal"/>
    <w:rPr>
      <w:sz w:val="18"/>
    </w:rPr>
  </w:style>
  <w:style w:type="character" w:styleId="FootnoteReference">
    <w:name w:val="footnote reference"/>
    <w:rPr>
      <w:vertAlign w:val="superscript"/>
    </w:rPr>
  </w:style>
  <w:style w:type="table" w:styleId="CkTable">
    <w:name w:val="Clarkdown Table"/>
    <w:tblPr>
      <w:tblBorders>
        <w:top w:val="single" w:sz="4" w:color="BFBFBF"/>
        <w:left w:val="single" w:sz="4" w:color="BFBFBF"/>
        <w:bottom w:val="single" w:sz="4" w:color="BFBFBF"/>
        <w:right w:val="single" w:sz="4" w:color="BFBFBF"/>
        <w:insideH w:val="single" w:sz="4" w:color="BFBFBF"/>
        <w:insideV w:val="single" w:sz="4" w:color="BFBFBF"/>
      </w:tblBorders>
      <w:tblCellMar>
        <w:top w:w="80" w:type="dxa"/>
        <w:left w:w="80" w:type="dxa"/>
        <w:bottom w:w="80" w:type="dxa"/>
        <w:right w:w="80" w:type="dxa"/>
      </w:tblCellMar>
    </w:tblPr>
  </w:style>
  <w:style w:type="table" w:styleId="CkLayout">
    <w:name w:val="Clarkdown Layout"/>
    <w:tblPr>
      <w:tblBorders>
        <w:top w:val="none"/>
        <w:left w:val="none"/>
        <w:bottom w:val="none"/>
        <w:right w:val="none"/>
        <w:insideH w:val="none"/>
        <w:insideV w:val="none"/>
      </w:tblBorders>
    </w:tblPr>
  </w:style>
  <w:style w:type="paragraph" w:styleId="CkNote" w:default="0">
    <w:name w:val="Clarkdown Note"/>
    <w:basedOn w:val="Normal"/>
    <w:pPr>
      <w:pBdr>
        <w:left w:val="single" w:sz="24" w:space="8" w:color="2F6FEB"/>
      </w:pBdr>
      <w:ind w:left="240"/>
    </w:pPr>
  </w:style>
  <w:style w:type="paragraph" w:styleId="CkTip" w:default="0">
    <w:name w:val="Clarkdown Tip"/>
    <w:basedOn w:val="Normal"/>
    <w:pPr>
      <w:pBdr>
        <w:left w:val="single" w:sz="24" w:space="8" w:color="1A7F37"/>
      </w:pBdr>
      <w:ind w:left="240"/>
    </w:pPr>
  </w:style>
  <w:style w:type="paragraph" w:styleId="CkWarning" w:default="0">
    <w:name w:val="Clarkdown Warning"/>
    <w:basedOn w:val="Normal"/>
    <w:pPr>
      <w:pBdr>
        <w:left w:val="single" w:sz="24" w:space="8" w:color="9A6700"/>
      </w:pBdr>
      <w:ind w:left="240"/>
    </w:pPr>
  </w:style>
  <w:style w:type="paragraph" w:styleId="CkImportant" w:default="0">
    <w:name w:val="Clarkdown Important"/>
    <w:basedOn w:val="Normal"/>
    <w:pPr>
      <w:pBdr>
        <w:left w:val="single" w:sz="24" w:space="8" w:color="8250DF"/>
      </w:pBdr>
      <w:ind w:left="240"/>
    </w:pPr>
  </w:style>
  <w:style w:type="paragraph" w:styleId="CkCaution" w:default="0">
    <w:name w:val="Clarkdown Caution"/>
    <w:basedOn w:val="Normal"/>
    <w:pPr>
      <w:pBdr>
        <w:left w:val="single" w:sz="24" w:space="8" w:color="CF222E"/>
      </w:pBdr>
      <w:ind w:left="240"/>
    </w:p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Fonts" Type="http://schemas.openxmlformats.org/officeDocument/2006/relationships/fontTable" Target="fontTable.xml"/><Relationship Id="rIdSettings" Type="http://schemas.openxmlformats.org/officeDocument/2006/relationships/settings" Target="settings.xml"/><Relationship Id="rIdHf1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rkdownFrontMatter">
    <vt:lpwstr>{"kv":{"theme":"serif"},"v":1}</vt:lpwstr>
  </property>
</Properties>
</file>