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it"/>
      </w:pPr>
      <w:bookmarkStart w:id="0" w:name="it"/>
      <w:r>
        <w:t>БИЗНЕС-ПЛАН: ИНФОРМАЦИОННЫЕ ТЕХНОЛОГИИ И СВЯЗЬ (IT)</w:t>
      </w:r>
      <w:bookmarkEnd w:id="0"/>
    </w:p>
    <w:p>
      <w:r>
        <w:rPr>
          <w:rStyle w:val="CkMuted"/>
        </w:rPr>
        <w:t>Пример: IT-стартап / аутсорсинговая студия разработки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«Информационные технологии и связь (IT)».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и раздел «Пример финансового расчёта» — иллюстрация формата и порядка величины на основе рыночных ориентиров 2025-2026 года, а не факты и не финансовая отчётность о реальной компании: перед подачей в банк или инвестору замените их на данные своего проекта. Тот же расчёт с рабочими формулами (SUM, прибыль, срок окупаемости, рентабельность), которые пересчитываются автоматически,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Студия разработки «CodeVodiy» специализируется на аутсорсинговой разработке мобильных приложений для европейских клиентов, зарегистрирована резидентом IT Park. Требуемые инвестиции — 300 млн сум на первые 3 месяца работы команды из 6 человек до выхода на устойчивый поток проектов; окупаемость — около 8 месяцев при загрузке команды на 2 параллельных проекта.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Информационные технологии и связь (IT)</w:t>
      </w:r>
      <w:bookmarkEnd w:id="3"/>
    </w:p>
    <w:p>
      <w:pPr>
        <w:pStyle w:val="ListParagraph"/>
        <w:numPr>
          <w:ilvl w:val="0"/>
          <w:numId w:val="1"/>
        </w:numPr>
      </w:pPr>
      <w:r>
        <w:t>IT Park Uzbekistan даёт резидентам налоговые льготы (в т.ч. освобождение от налога на прибыль для компаний-экспортёров с объёмом экспорта свыше $10 млн) — стоит изучить актуальные условия регистрации резидентом (uz24.uz, it-park.uz).</w:t>
      </w:r>
    </w:p>
    <w:p>
      <w:pPr>
        <w:pStyle w:val="ListParagraph"/>
        <w:numPr>
          <w:ilvl w:val="0"/>
          <w:numId w:val="1"/>
        </w:numPr>
      </w:pPr>
      <w:r>
        <w:t>Резидентская база IT Park быстро растёт: по данным Spot.uz, с начала 2025 года резидентами стали 636 новых компаний; по данным самого IT Park, только за 7 месяцев 2025 года присоединились 481 новый экспортёр и 232 иностранные компании — конкуренция за кадры и клиентов в резидентском пуле усиливается (spot.uz, it-park.uz).</w:t>
      </w:r>
    </w:p>
    <w:p>
      <w:pPr>
        <w:pStyle w:val="ListParagraph"/>
        <w:numPr>
          <w:ilvl w:val="0"/>
          <w:numId w:val="1"/>
        </w:numPr>
      </w:pPr>
      <w:r>
        <w:t>Растёт IT-экспорт из Узбекистана — аутсорсинг разработки для рынков США, ЕС и СНГ остаётся основной моделью для большинства резидентов IT Park, наряду с растущим числом продуктовых/SaaS-компаний.</w:t>
      </w:r>
    </w:p>
    <w:p>
      <w:pPr>
        <w:pStyle w:val="ListParagraph"/>
        <w:numPr>
          <w:ilvl w:val="0"/>
          <w:numId w:val="1"/>
        </w:numPr>
      </w:pPr>
      <w:r>
        <w:t>Дефицит квалифицированных разработчиков создаёт конкуренцию за кадры и давление на зарплаты в отрасли — при планировании ФОТ ориентируйтесь на текущий рынок труда, а не на данные прошлых лет.</w:t>
      </w:r>
    </w:p>
    <w:p>
      <w:pPr>
        <w:pStyle w:val="ListParagraph"/>
        <w:numPr>
          <w:ilvl w:val="0"/>
          <w:numId w:val="1"/>
        </w:numPr>
      </w:pPr>
      <w:r>
        <w:t>Для сравнения: Грузия и Армения также активно привлекают IT-компании налоговыми льготами и визовыми режимами и конкурируют с Узбекистаном за относительно мобильные команды разработки на аутсорсе — для удержания кадров важны не только зарплата, но и условия (удалёнка, релокационные пакеты, обучение).</w:t>
      </w:r>
    </w:p>
    <w:p>
      <w:pPr>
        <w:pStyle w:val="ListParagraph"/>
        <w:numPr>
          <w:ilvl w:val="0"/>
          <w:numId w:val="1"/>
        </w:numPr>
      </w:pPr>
      <w:r>
        <w:t>[Впишите] Целевую нишу (аутсорсинг/продукт/SaaS/маркетплейс), конкурентов и их ценообразование — уточняйте по отраслевым обзорам IT Park и профильным сообществам разработчиков.</w:t>
      </w:r>
    </w:p>
    <w:p>
      <w:pPr>
        <w:pStyle w:val="Heading3"/>
        <ck:id v="section"/>
      </w:pPr>
      <w:bookmarkStart w:id="4" w:name="section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1"/>
      </w:pPr>
      <w:bookmarkStart w:id="5" w:name="section_1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по модели time &amp; material, на 20-30% ниже европейских студий сопоставимого уровня; продвижение — профиль на Clutch/Upwork, портфолио кейсов, партнёрство с 1-2 зарубежными IT-агентствами для субподряда на первых проектах.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квалификация лида → оценка и коммерческое предложение → разработка спринтами (Scrum) → сдача этапов заказчику → поддержка после релиза. Ключевая инфраструктура — облачный хостинг, лицензии на инструменты разработки. Требуется регистрация резидентом IT Park для налоговых льгот.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Тимлид-основатель, 4 разработчика, QA-инженер, менеджер проектов на part-time, бухгалтер на аутсорсе. Форма — ООО, резидент IT Park (специальный налоговый режим для IT-экспортёров).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financial-example"/>
      </w:pPr>
      <w:bookmarkStart w:id="9" w:name="financial_example"/>
      <w:r>
        <w:t>Пример финансового расчёта</w:t>
      </w:r>
      <w:bookmarkEnd w:id="9"/>
    </w:p>
    <w:p>
      <w:r>
        <w:rPr>
          <w:rStyle w:val="CkCaption"/>
          <w:i/>
        </w:rPr>
        <w:t>Ниже — полностью посчитанный пример для иллюстративной компании из резюме, на основе рыночных ориентиров 2025-2026 года (аренда, зарплаты, цены на оборудование, налоги, ставки — со ссылкой на источник там, где он известен) и экспертных оценок порядка величины там, где точных данных нет (это отмечено в комментариях). Он показывает логику расчёта и реалистичный масштаб цифр — это не финансовая отчётность и не готовая заявка на кредит. Тот же расчёт с рабочими формулами — в Excel-файле с тем же названием; замените суммы там на данные своего проекта, и всё пересчитается автоматически.</w:t>
      </w:r>
    </w:p>
    <w:p>
      <w:r>
        <w:rPr>
          <w:b/>
        </w:rPr>
        <w:t>Стартовые затраты (единоразово)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Регистрация резидента IT Park</w:t>
            </w:r>
          </w:p>
        </w:tc>
        <w:tc>
          <w:tcPr/>
          <w:p>
            <w:r>
              <w:t>12 000 000</w:t>
            </w:r>
          </w:p>
        </w:tc>
        <w:tc>
          <w:tcPr/>
          <w:p>
            <w:r>
              <w:t>оценка: юр. сопровождение регистрации ООО и получения статуса резидента IT Park</w:t>
            </w:r>
          </w:p>
        </w:tc>
      </w:tr>
      <w:tr>
        <w:tc>
          <w:tcPr/>
          <w:p>
            <w:r>
              <w:t>Рабочие станции и техника</w:t>
            </w:r>
          </w:p>
        </w:tc>
        <w:tc>
          <w:tcPr/>
          <w:p>
            <w:r>
              <w:t>140 000 000</w:t>
            </w:r>
          </w:p>
        </w:tc>
        <w:tc>
          <w:tcPr/>
          <w:p>
            <w:r>
              <w:t>6 рабочих мест: 3 MacBook Pro (~28-32 млн/шт., обязательны для iOS-разработки) + 3 ПК/ноутбука (~13-15 млн/шт.)</w:t>
            </w:r>
          </w:p>
        </w:tc>
      </w:tr>
      <w:tr>
        <w:tc>
          <w:tcPr/>
          <w:p>
            <w:r>
              <w:t>Лицензии на ПО и инструменты разработки</w:t>
            </w:r>
          </w:p>
        </w:tc>
        <w:tc>
          <w:tcPr/>
          <w:p>
            <w:r>
              <w:t>20 000 000</w:t>
            </w:r>
          </w:p>
        </w:tc>
        <w:tc>
          <w:tcPr/>
          <w:p>
            <w:r>
              <w:t>оценка: Apple Developer, Google Play Console, JetBrains, Figma, тестовые устройства на команду</w:t>
            </w:r>
          </w:p>
        </w:tc>
      </w:tr>
      <w:tr>
        <w:tc>
          <w:tcPr/>
          <w:p>
            <w:r>
              <w:t>Сайт / портфолио</w:t>
            </w:r>
          </w:p>
        </w:tc>
        <w:tc>
          <w:tcPr/>
          <w:p>
            <w:r>
              <w:t>12 000 000</w:t>
            </w:r>
          </w:p>
        </w:tc>
        <w:tc>
          <w:tcPr/>
          <w:p>
            <w:r>
              <w:t>оценка стоимости разработки сайта-портфолио для привлечения европейских заказчиков</w:t>
            </w:r>
          </w:p>
        </w:tc>
      </w:tr>
      <w:tr>
        <w:tc>
          <w:tcPr/>
          <w:p>
            <w:r>
              <w:t>Первый маркетинговый бюджет</w:t>
            </w:r>
          </w:p>
        </w:tc>
        <w:tc>
          <w:tcPr/>
          <w:p>
            <w:r>
              <w:t>20 000 000</w:t>
            </w:r>
          </w:p>
        </w:tc>
        <w:tc>
          <w:tcPr/>
          <w:p>
            <w:r>
              <w:t>оценка: лидогенерация (LinkedIn Ads, Upwork/Clutch, тематические каталоги)</w:t>
            </w:r>
          </w:p>
        </w:tc>
      </w:tr>
      <w:tr>
        <w:tc>
          <w:tcPr/>
          <w:p>
            <w:r>
              <w:rPr>
                <w:b/>
              </w:rPr>
              <w:t>Итого стартовые затраты</w:t>
            </w:r>
          </w:p>
        </w:tc>
        <w:tc>
          <w:tcPr/>
          <w:p>
            <w:r>
              <w:rPr>
                <w:b/>
              </w:rPr>
              <w:t>204 000 000</w:t>
            </w:r>
          </w:p>
        </w:tc>
        <w:tc>
          <w:tcPr/>
          <w:p/>
        </w:tc>
      </w:tr>
    </w:tbl>
    <w:p>
      <w:r>
        <w:rPr>
          <w:b/>
        </w:rPr>
        <w:t>Ежемесячная выручка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Проекты по договорам</w:t>
            </w:r>
          </w:p>
        </w:tc>
        <w:tc>
          <w:tcPr/>
          <w:p>
            <w:r>
              <w:t>105 000 000</w:t>
            </w:r>
          </w:p>
        </w:tc>
        <w:tc>
          <w:tcPr/>
          <w:p>
            <w:r>
              <w:t>2 параллельных проекта, ~5 billable специалистов, блендовая ставка ~$15-20/час, ~150 ч/мес на человека</w:t>
            </w:r>
          </w:p>
        </w:tc>
      </w:tr>
      <w:tr>
        <w:tc>
          <w:tcPr/>
          <w:p>
            <w:r>
              <w:t>Подписочная модель (SaaS)</w:t>
            </w:r>
          </w:p>
        </w:tc>
        <w:tc>
          <w:tcPr/>
          <w:p>
            <w:r>
              <w:t>5 000 000</w:t>
            </w:r>
          </w:p>
        </w:tc>
        <w:tc>
          <w:tcPr/>
          <w:p>
            <w:r>
              <w:t>оценка: небольшой собственный SaaS-продукт на раннем этапе монетизации</w:t>
            </w:r>
          </w:p>
        </w:tc>
      </w:tr>
      <w:tr>
        <w:tc>
          <w:tcPr/>
          <w:p>
            <w:r>
              <w:t>Поддержка и сопровождение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оценка выручки от ретейнер-контрактов на поддержку сданных проектов</w:t>
            </w:r>
          </w:p>
        </w:tc>
      </w:tr>
      <w:tr>
        <w:tc>
          <w:tcPr/>
          <w:p>
            <w:r>
              <w:t>Консалтинг и аудит существующих систем</w:t>
            </w:r>
          </w:p>
        </w:tc>
        <w:tc>
          <w:tcPr/>
          <w:p>
            <w:r>
              <w:t>10 000 000</w:t>
            </w:r>
          </w:p>
        </w:tc>
        <w:tc>
          <w:tcPr/>
          <w:p>
            <w:r>
              <w:t>оценка выручки от разовых консультационных проектов</w:t>
            </w:r>
          </w:p>
        </w:tc>
      </w:tr>
      <w:tr>
        <w:tc>
          <w:tcPr/>
          <w:p>
            <w:r>
              <w:rPr>
                <w:b/>
              </w:rPr>
              <w:t>Итого выручка/мес</w:t>
            </w:r>
          </w:p>
        </w:tc>
        <w:tc>
          <w:tcPr/>
          <w:p>
            <w:r>
              <w:rPr>
                <w:b/>
              </w:rPr>
              <w:t>135 000 000</w:t>
            </w:r>
          </w:p>
        </w:tc>
        <w:tc>
          <w:tcPr/>
          <w:p/>
        </w:tc>
      </w:tr>
    </w:tbl>
    <w:p>
      <w:r>
        <w:rPr>
          <w:b/>
        </w:rPr>
        <w:t>Ежемесячные операционные расходы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ФОТ разработчиков</w:t>
            </w:r>
          </w:p>
        </w:tc>
        <w:tc>
          <w:tcPr/>
          <w:p>
            <w:r>
              <w:t>86 000 000</w:t>
            </w:r>
          </w:p>
        </w:tc>
        <w:tc>
          <w:tcPr/>
          <w:p>
            <w:r>
              <w:t>тимлид ~18 млн + 4 разработчика ~13 млн каждый (уровень middle, it-park.uz) + QA ~9 млн + PM part-time ~7 млн</w:t>
            </w:r>
          </w:p>
        </w:tc>
      </w:tr>
      <w:tr>
        <w:tc>
          <w:tcPr/>
          <w:p>
            <w:r>
              <w:t>Облачная инфраструктура / хостинг</w:t>
            </w:r>
          </w:p>
        </w:tc>
        <w:tc>
          <w:tcPr/>
          <w:p>
            <w:r>
              <w:t>4 000 000</w:t>
            </w:r>
          </w:p>
        </w:tc>
        <w:tc>
          <w:tcPr/>
          <w:p>
            <w:r>
              <w:t>оценка расходов на AWS/GCP/CI-CD для нескольких мобильных проектов</w:t>
            </w:r>
          </w:p>
        </w:tc>
      </w:tr>
      <w:tr>
        <w:tc>
          <w:tcPr/>
          <w:p>
            <w:r>
              <w:t>Подписки на инструменты разработки</w:t>
            </w:r>
          </w:p>
        </w:tc>
        <w:tc>
          <w:tcPr/>
          <w:p>
            <w:r>
              <w:t>4 500 000</w:t>
            </w:r>
          </w:p>
        </w:tc>
        <w:tc>
          <w:tcPr/>
          <w:p>
            <w:r>
              <w:t>оценка ежемесячных подписок (JetBrains, Figma, GitHub, тестовые сервисы)</w:t>
            </w:r>
          </w:p>
        </w:tc>
      </w:tr>
      <w:tr>
        <w:tc>
          <w:tcPr/>
          <w:p>
            <w:r>
              <w:t>Маркетинг и продажи (лидогенерация)</w:t>
            </w:r>
          </w:p>
        </w:tc>
        <w:tc>
          <w:tcPr/>
          <w:p>
            <w:r>
              <w:t>8 500 000</w:t>
            </w:r>
          </w:p>
        </w:tc>
        <w:tc>
          <w:tcPr/>
          <w:p>
            <w:r>
              <w:t>оценка расходов на лидогенерацию для европейских клиентов</w:t>
            </w:r>
          </w:p>
        </w:tc>
      </w:tr>
      <w:tr>
        <w:tc>
          <w:tcPr/>
          <w:p>
            <w:r>
              <w:t>Обучение и развитие команды</w:t>
            </w:r>
          </w:p>
        </w:tc>
        <w:tc>
          <w:tcPr/>
          <w:p>
            <w:r>
              <w:t>2 500 000</w:t>
            </w:r>
          </w:p>
        </w:tc>
        <w:tc>
          <w:tcPr/>
          <w:p>
            <w:r>
              <w:t>оценка бюджета на курсы/сертификации, помесячно</w:t>
            </w:r>
          </w:p>
        </w:tc>
      </w:tr>
      <w:tr>
        <w:tc>
          <w:tcPr/>
          <w:p>
            <w:r>
              <w:t>Юридическое и бухгалтерское сопровождение резидента IT Park</w:t>
            </w:r>
          </w:p>
        </w:tc>
        <w:tc>
          <w:tcPr/>
          <w:p>
            <w:r>
              <w:t>3 500 000</w:t>
            </w:r>
          </w:p>
        </w:tc>
        <w:tc>
          <w:tcPr/>
          <w:p>
            <w:r>
              <w:t>оценка стоимости аутсорс-бухгалтерии и юр. сопровождения статуса резидента</w:t>
            </w:r>
          </w:p>
        </w:tc>
      </w:tr>
      <w:tr>
        <w:tc>
          <w:tcPr/>
          <w:p>
            <w:r>
              <w:rPr>
                <w:b/>
              </w:rPr>
              <w:t>Итого расходы/мес</w:t>
            </w:r>
          </w:p>
        </w:tc>
        <w:tc>
          <w:tcPr/>
          <w:p>
            <w:r>
              <w:rPr>
                <w:b/>
              </w:rPr>
              <w:t>109 000 000</w:t>
            </w:r>
          </w:p>
        </w:tc>
        <w:tc>
          <w:tcPr/>
          <w:p/>
        </w:tc>
      </w:tr>
    </w:tbl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b/>
                  </w:rPr>
                  <w:t>Ежемесячная прибыль:</w:t>
                </w:r>
                <w:r>
                  <w:t xml:space="preserve"> 26 000 000 сум · </w:t>
                </w:r>
                <w:r>
                  <w:rPr>
                    <w:b/>
                  </w:rPr>
                  <w:t>Срок окупаемости:</w:t>
                </w:r>
                <w:r>
                  <w:t xml:space="preserve"> 7,8 мес. · </w:t>
                </w:r>
                <w:r>
                  <w:rPr>
                    <w:b/>
                  </w:rPr>
                  <w:t>Рентабельность продаж:</w:t>
                </w:r>
                <w:r>
                  <w:t xml:space="preserve"> 19,3%</w:t>
                </w:r>
              </w:p>
            </w:tc>
          </w:tr>
        </w:tbl>
      </w:sdtContent>
    </w:sdt>
    <w:p>
      <w:r>
        <w:rPr>
          <w:rStyle w:val="CkCaption"/>
          <w:i/>
        </w:rPr>
        <w:t>Как считался этот пример: сумма стартовых (капитальных) затрат — 204 млн сум; заявленные в резюме 300 млн описывают запас на 3 мес. работы команды (включая ФОТ, который в модели отнесён к ежемесячным расходам, а не к стартовым). При прибыли ≈26 млн сум/мес окупаемость капитальных затрат ≈7,9 мес. — близко к заявленным ~8 мес.</w:t>
      </w:r>
    </w:p>
    <w:p>
      <w:r>
        <w:t>[Впишите] Пересчитайте таблицы выше на основе цен, ставок аренды/зарплат и объёмов продаж вашего проекта в вашем регионе.</w:t>
      </w:r>
    </w:p>
    <w:p>
      <w:pPr>
        <w:pStyle w:val="Heading2"/>
        <ck:id v="risks"/>
      </w:pPr>
      <w:bookmarkStart w:id="10" w:name="risks"/>
      <w:r>
        <w:t>Риски и меры по их снижению</w:t>
      </w:r>
      <w:bookmarkEnd w:id="10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Отток квалифицированных кадров за рубеж или к конкурентам</w:t>
            </w:r>
          </w:p>
        </w:tc>
        <w:tc>
          <w:tcPr/>
          <w:p>
            <w:r>
              <w:t>Конкурентная оплата, удалённые/гибридные условия, программы обучения и роста внутри компании</w:t>
            </w:r>
          </w:p>
        </w:tc>
      </w:tr>
      <w:tr>
        <w:tc>
          <w:tcPr/>
          <w:p>
            <w:r>
              <w:t>Зависимость от 1-2 крупных клиентов</w:t>
            </w:r>
          </w:p>
        </w:tc>
        <w:tc>
          <w:tcPr/>
          <w:p>
            <w:r>
              <w:t>Диверсификация портфеля клиентов, не более 30-40% выручки от одного заказчика</w:t>
            </w:r>
          </w:p>
        </w:tc>
      </w:tr>
      <w:tr>
        <w:tc>
          <w:tcPr/>
          <w:p>
            <w:r>
              <w:t>Валютные риски по контрактам в иностранной валюте</w:t>
            </w:r>
          </w:p>
        </w:tc>
        <w:tc>
          <w:tcPr/>
          <w:p>
            <w:r>
              <w:t>Хеджирование, привязка расчётов к валюте контракта, часть резервов в валюте</w:t>
            </w:r>
          </w:p>
        </w:tc>
      </w:tr>
      <w:tr>
        <w:tc>
          <w:tcPr/>
          <w:p>
            <w:r>
              <w:t>Изменение условий налоговых льгот IT Park</w:t>
            </w:r>
          </w:p>
        </w:tc>
        <w:tc>
          <w:tcPr/>
          <w:p>
            <w:r>
              <w:t>Мониторинг регуляторики, диверсификация юрисдикций для крупных экспортёров</w:t>
            </w:r>
          </w:p>
        </w:tc>
      </w:tr>
      <w:tr>
        <w:tc>
          <w:tcPr/>
          <w:p>
            <w:r>
              <w:t>Рост конкуренции за резидентов и клиентов внутри IT Park</w:t>
            </w:r>
          </w:p>
        </w:tc>
        <w:tc>
          <w:tcPr/>
          <w:p>
            <w:r>
              <w:t>Узкая специализация/ниша, инвестиции в портфолио и репутацию, а не только цену</w:t>
            </w:r>
          </w:p>
        </w:tc>
      </w:tr>
      <w:tr>
        <w:tc>
          <w:tcPr/>
          <w:p>
            <w:r>
              <w:t>Кибербезопасность и утечка данных клиентов</w:t>
            </w:r>
          </w:p>
        </w:tc>
        <w:tc>
          <w:tcPr/>
          <w:p>
            <w:r>
              <w:t>Политики безопасности, NDA с сотрудниками, аудит инфраструктуры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