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0" w:name="section"/>
      <w:r>
        <w:t>БИЗНЕС-ПЛАН: ТУРИЗМ И ИНДУСТРИЯ ГОСТЕПРИИМСТВА</w:t>
      </w:r>
      <w:bookmarkEnd w:id="0"/>
    </w:p>
    <w:p>
      <w:r>
        <w:rPr>
          <w:rStyle w:val="CkMuted"/>
        </w:rPr>
        <w:t>Пример: гостевой дом / мини-отель или туристический оператор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«Туризм и индустрия гостеприимства».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и раздел «Пример финансового расчёта» — иллюстрация формата и порядка величины на основе рыночных ориентиров 2025-2026 года, а не факты и не финансовая отчётность о реальной компании: перед подачей в банк или инвестору замените их на данные своего проекта. Тот же расчёт с рабочими формулами (SUM, прибыль, срок окупаемости, рентабельность), которые пересчитываются автоматически,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Гостевой дом «Ipak Yoli Inn» на 8 номеров открывается в историческом центре Бухары с фокусом на индивидуальных туристов из Европы и Юго-Восточной Азии. Требуемые инвестиции — 950 млн сум на ремонт исторического здания и меблировку; окупаемость — около 3 сезонов при средней загрузке 55%.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Туризм и индустрия гостеприимства</w:t>
      </w:r>
      <w:bookmarkEnd w:id="3"/>
    </w:p>
    <w:p>
      <w:pPr>
        <w:pStyle w:val="ListParagraph"/>
        <w:numPr>
          <w:ilvl w:val="0"/>
          <w:numId w:val="1"/>
        </w:numPr>
      </w:pPr>
      <w:r>
        <w:t>Узбекистан переживает бум въездного туризма: по данным UzDaily и Nuz.uz, за январь–июль 2026 года страну посетили 7,74 млн иностранных туристов — рост на 22,6% год к году, а экспорт туристических услуг за тот же период достиг $3,895 млрд (+56% год к году) (nuz.uz, uzdaily.uz).</w:t>
      </w:r>
    </w:p>
    <w:p>
      <w:pPr>
        <w:pStyle w:val="ListParagraph"/>
        <w:numPr>
          <w:ilvl w:val="0"/>
          <w:numId w:val="1"/>
        </w:numPr>
      </w:pPr>
      <w:r>
        <w:t>Узбекистан входит в топ-5 стран мира по темпам роста туристического потока (yuz.uz) — это открывает окно возможностей, но одновременно означает быстрый приток новых игроков и рост конкуренции за туристов и кадры.</w:t>
      </w:r>
    </w:p>
    <w:p>
      <w:pPr>
        <w:pStyle w:val="ListParagraph"/>
        <w:numPr>
          <w:ilvl w:val="0"/>
          <w:numId w:val="1"/>
        </w:numPr>
      </w:pPr>
      <w:r>
        <w:t>Инфраструктура размещения растёт вслед за спросом: только за первые 7 месяцев 2026 года появилось 705 новых объектов размещения (nuz.uz) — рынок мини-отелей и гостевых домов активно насыщается, особенно в Самарканде, Бухаре и Хиве.</w:t>
      </w:r>
    </w:p>
    <w:p>
      <w:pPr>
        <w:pStyle w:val="ListParagraph"/>
        <w:numPr>
          <w:ilvl w:val="0"/>
          <w:numId w:val="1"/>
        </w:numPr>
      </w:pPr>
      <w:r>
        <w:t>Действует упрощённое лицензирование малых средств размещения и меры поддержки туристического бизнеса; для многих направлений (Россия, страны СНГ, ряд государств Азии) действует упрощённый или безвизовый режим въезда.</w:t>
      </w:r>
    </w:p>
    <w:p>
      <w:pPr>
        <w:pStyle w:val="ListParagraph"/>
        <w:numPr>
          <w:ilvl w:val="0"/>
          <w:numId w:val="1"/>
        </w:numPr>
      </w:pPr>
      <w:r>
        <w:t>Растёт спрос на нишевые форматы: гастрономический, паломнический и эко-туризм, а также культурно-исторический туризм вне «золотого треугольника» Самарканд-Бухара-Хива — менее насыщенные регионы дают больше пространства для нового бизнеса.</w:t>
      </w:r>
    </w:p>
    <w:p>
      <w:pPr>
        <w:pStyle w:val="ListParagraph"/>
        <w:numPr>
          <w:ilvl w:val="0"/>
          <w:numId w:val="1"/>
        </w:numPr>
      </w:pPr>
      <w:r>
        <w:t>Для сравнения: Казахстан делает ставку на природный и деловой туризм (Алматы, Астана), а не на культурно-исторический — Узбекистан по историческому наследию Шёлкового пути конкурентов в регионе практически не имеет, но уступает соседям в развитости туристической инфраструктуры вне основных городов.</w:t>
      </w:r>
    </w:p>
    <w:p>
      <w:pPr>
        <w:pStyle w:val="ListParagraph"/>
        <w:numPr>
          <w:ilvl w:val="0"/>
          <w:numId w:val="1"/>
        </w:numPr>
      </w:pPr>
      <w:r>
        <w:t>[Впишите] Сезонность и загрузку в вашем регионе, средний чек конкурентов — уточняйте по данным Госкомтуризма (uzbekistan.travel) и локальным ассоциациям гостиниц.</w:t>
      </w:r>
    </w:p>
    <w:p>
      <w:pPr>
        <w:pStyle w:val="Heading3"/>
        <ck:id v="section-1"/>
      </w:pPr>
      <w:bookmarkStart w:id="4" w:name="section_1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2"/>
      </w:pPr>
      <w:bookmarkStart w:id="5" w:name="section_2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Цена — на уровне среднего чека по Бухаре с наценкой за аутентичный дизайн и завтрак из местной кухни; продвижение — листинг на Booking.com и Airbnb с профессиональными фото, партнёрство с местными гидами и туроператорами, работа с отзывами для рейтинга площадок.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бронирование через платформы или напрямую → заселение → обслуживание в течение проживания (завтрак, уборка, консьерж-услуги) → выезд и сбор отзыва. Требуется регистрация и сертификация средства размещения, санитарные разрешения для точки питания при её наличии.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Управляющий-владелец, администратор ресепшена (посменно), 2 горничные, повар для завтраков на part-time. Форма — ИП или ООО в зависимости от масштаба и планов расширения.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financial-example"/>
      </w:pPr>
      <w:bookmarkStart w:id="9" w:name="financial_example"/>
      <w:r>
        <w:t>Пример финансового расчёта</w:t>
      </w:r>
      <w:bookmarkEnd w:id="9"/>
    </w:p>
    <w:p>
      <w:r>
        <w:rPr>
          <w:rStyle w:val="CkCaption"/>
          <w:i/>
        </w:rPr>
        <w:t>Ниже — полностью посчитанный пример для иллюстративной компании из резюме, на основе рыночных ориентиров 2025-2026 года (аренда, зарплаты, цены на оборудование, налоги, ставки — со ссылкой на источник там, где он известен) и экспертных оценок порядка величины там, где точных данных нет (это отмечено в комментариях). Он показывает логику расчёта и реалистичный масштаб цифр — это не финансовая отчётность и не готовая заявка на кредит. Тот же расчёт с рабочими формулами — в Excel-файле с тем же названием; замените суммы там на данные своего проекта, и всё пересчитается автоматически.</w:t>
      </w:r>
    </w:p>
    <w:p>
      <w:r>
        <w:rPr>
          <w:b/>
        </w:rPr>
        <w:t>Стартовые затраты (единоразово)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Ремонт/обустройство помещения под номерной фонд</w:t>
            </w:r>
          </w:p>
        </w:tc>
        <w:tc>
          <w:tcPr/>
          <w:p>
            <w:r>
              <w:t>620 000 000</w:t>
            </w:r>
          </w:p>
        </w:tc>
        <w:tc>
          <w:tcPr/>
          <w:p>
            <w:r>
              <w:t>реставрация историч. здания под 8 номеров с санузлами и двориком в центре Бухары, ~77,5 млн сум/номер — оценка по типовым сметам реставрации</w:t>
            </w:r>
          </w:p>
        </w:tc>
      </w:tr>
      <w:tr>
        <w:tc>
          <w:tcPr/>
          <w:p>
            <w:r>
              <w:t>Мебель и оборудование</w:t>
            </w:r>
          </w:p>
        </w:tc>
        <w:tc>
          <w:tcPr/>
          <w:p>
            <w:r>
              <w:t>240 000 000</w:t>
            </w:r>
          </w:p>
        </w:tc>
        <w:tc>
          <w:tcPr/>
          <w:p>
            <w:r>
              <w:t>мебель нац. стиля, кондиционеры, бельё, кухня и лобби — ~30 млн сум/номер, оценка по рыночным ценам</w:t>
            </w:r>
          </w:p>
        </w:tc>
      </w:tr>
      <w:tr>
        <w:tc>
          <w:tcPr/>
          <w:p>
            <w:r>
              <w:t>Регистрация и сертификация гостиницы</w:t>
            </w:r>
          </w:p>
        </w:tc>
        <w:tc>
          <w:tcPr/>
          <w:p>
            <w:r>
              <w:t>20 000 000</w:t>
            </w:r>
          </w:p>
        </w:tc>
        <w:tc>
          <w:tcPr/>
          <w:p>
            <w:r>
              <w:t>оценка: регистрация, сертификация средства размещения, пожарные/санитарные разрешения</w:t>
            </w:r>
          </w:p>
        </w:tc>
      </w:tr>
      <w:tr>
        <w:tc>
          <w:tcPr/>
          <w:p>
            <w:r>
              <w:t>Продвижение на туристических платформах</w:t>
            </w:r>
          </w:p>
        </w:tc>
        <w:tc>
          <w:tcPr/>
          <w:p>
            <w:r>
              <w:t>30 000 000</w:t>
            </w:r>
          </w:p>
        </w:tc>
        <w:tc>
          <w:tcPr/>
          <w:p>
            <w:r>
              <w:t>оценка: подключение Booking.com/Airbnb/Ostrovok, channel manager, стартовые платные размещения</w:t>
            </w:r>
          </w:p>
        </w:tc>
      </w:tr>
      <w:tr>
        <w:tc>
          <w:tcPr/>
          <w:p>
            <w:r>
              <w:t>Профессиональная фотосъёмка объекта</w:t>
            </w:r>
          </w:p>
        </w:tc>
        <w:tc>
          <w:tcPr/>
          <w:p>
            <w:r>
              <w:t>10 000 000</w:t>
            </w:r>
          </w:p>
        </w:tc>
        <w:tc>
          <w:tcPr/>
          <w:p>
            <w:r>
              <w:t>оценка по рыночным расценкам фотографов в Бухаре/Ташкенте</w:t>
            </w:r>
          </w:p>
        </w:tc>
      </w:tr>
      <w:tr>
        <w:tc>
          <w:tcPr/>
          <w:p>
            <w:r>
              <w:t>Лицензии на доп. услуги</w:t>
            </w:r>
          </w:p>
        </w:tc>
        <w:tc>
          <w:tcPr/>
          <w:p>
            <w:r>
              <w:t>20 000 000</w:t>
            </w:r>
          </w:p>
        </w:tc>
        <w:tc>
          <w:tcPr/>
          <w:p>
            <w:r>
              <w:t>оценка: разрешение на общепит (завтраки), договоры с туроператорами/гидами</w:t>
            </w:r>
          </w:p>
        </w:tc>
      </w:tr>
      <w:tr>
        <w:tc>
          <w:tcPr/>
          <w:p>
            <w:r>
              <w:rPr>
                <w:b/>
              </w:rPr>
              <w:t>Итого стартовые затраты</w:t>
            </w:r>
          </w:p>
        </w:tc>
        <w:tc>
          <w:tcPr/>
          <w:p>
            <w:r>
              <w:rPr>
                <w:b/>
              </w:rPr>
              <w:t>940 000 000</w:t>
            </w:r>
          </w:p>
        </w:tc>
        <w:tc>
          <w:tcPr/>
          <w:p/>
        </w:tc>
      </w:tr>
    </w:tbl>
    <w:p>
      <w:r>
        <w:rPr>
          <w:b/>
        </w:rPr>
        <w:t>Ежемесячная выручка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Проживание</w:t>
            </w:r>
          </w:p>
        </w:tc>
        <w:tc>
          <w:tcPr/>
          <w:p>
            <w:r>
              <w:t>63 000 000</w:t>
            </w:r>
          </w:p>
        </w:tc>
        <w:tc>
          <w:tcPr/>
          <w:p>
            <w:r>
              <w:t>8 номеров × 30 дн × загрузка 55% = 132 номера-ночи/мес × ~480 тыс. сум/ночь (~38</w:t>
            </w:r>
            <m:oMath>
              <m:r>
                <m:t xml:space="preserve">)</m:t>
              </m:r>
              <m:r>
                <m:t xml:space="preserve">—</m:t>
              </m:r>
              <m:r>
                <m:t xml:space="preserve">в</m:t>
              </m:r>
              <m:r>
                <m:t xml:space="preserve">д</m:t>
              </m:r>
              <m:r>
                <m:t xml:space="preserve">и</m:t>
              </m:r>
              <m:r>
                <m:t xml:space="preserve">а</m:t>
              </m:r>
              <m:r>
                <m:t xml:space="preserve">п</m:t>
              </m:r>
              <m:r>
                <m:t xml:space="preserve">а</m:t>
              </m:r>
              <m:r>
                <m:t xml:space="preserve">з</m:t>
              </m:r>
              <m:r>
                <m:t xml:space="preserve">о</m:t>
              </m:r>
              <m:r>
                <m:t xml:space="preserve">н</m:t>
              </m:r>
              <m:r>
                <m:t xml:space="preserve">е</m:t>
              </m:r>
              <m:r>
                <m:t xml:space="preserve">ц</m:t>
              </m:r>
              <m:r>
                <m:t xml:space="preserve">е</m:t>
              </m:r>
              <m:r>
                <m:t xml:space="preserve">н</m:t>
              </m:r>
              <m:r>
                <m:t xml:space="preserve">г</m:t>
              </m:r>
              <m:r>
                <m:t xml:space="preserve">о</m:t>
              </m:r>
              <m:r>
                <m:t xml:space="preserve">с</m:t>
              </m:r>
              <m:r>
                <m:t xml:space="preserve">т</m:t>
              </m:r>
              <m:r>
                <m:t xml:space="preserve">е</m:t>
              </m:r>
              <m:r>
                <m:t xml:space="preserve">в</m:t>
              </m:r>
              <m:r>
                <m:t xml:space="preserve">ы</m:t>
              </m:r>
              <m:r>
                <m:t xml:space="preserve">х</m:t>
              </m:r>
              <m:r>
                <m:t xml:space="preserve">д</m:t>
              </m:r>
              <m:r>
                <m:t xml:space="preserve">о</m:t>
              </m:r>
              <m:r>
                <m:t xml:space="preserve">м</m:t>
              </m:r>
              <m:r>
                <m:t xml:space="preserve">о</m:t>
              </m:r>
              <m:r>
                <m:t xml:space="preserve">в</m:t>
              </m:r>
              <m:r>
                <m:t xml:space="preserve">Б</m:t>
              </m:r>
              <m:r>
                <m:t xml:space="preserve">у</m:t>
              </m:r>
              <m:r>
                <m:t xml:space="preserve">х</m:t>
              </m:r>
              <m:r>
                <m:t xml:space="preserve">а</m:t>
              </m:r>
              <m:r>
                <m:t xml:space="preserve">р</m:t>
              </m:r>
              <m:r>
                <m:t xml:space="preserve">ы</m:t>
              </m:r>
              <m:r>
                <m:t xml:space="preserve">19</m:t>
              </m:r>
              <m:r>
                <m:t xml:space="preserve">-</m:t>
              </m:r>
              <m:r>
                <m:t xml:space="preserve">60</m:t>
              </m:r>
              <m:r>
                <m:t xml:space="preserve">+</m:t>
              </m:r>
            </m:oMath>
            <w:r>
              <w:t>/ночь (kayak.com, hotels.com)</w:t>
            </w:r>
          </w:p>
        </w:tc>
      </w:tr>
      <w:tr>
        <w:tc>
          <w:tcPr/>
          <w:p>
            <w:r>
              <w:t>Дополнительные услуги</w:t>
            </w:r>
          </w:p>
        </w:tc>
        <w:tc>
          <w:tcPr/>
          <w:p>
            <w:r>
              <w:t>10 000 000</w:t>
            </w:r>
          </w:p>
        </w:tc>
        <w:tc>
          <w:tcPr/>
          <w:p>
            <w:r>
              <w:t>~16% от выручки за проживание — завтраки, трансферы, прачечная, экскурсии, типично для формата B&amp;B</w:t>
            </w:r>
          </w:p>
        </w:tc>
      </w:tr>
      <w:tr>
        <w:tc>
          <w:tcPr/>
          <w:p>
            <w:r>
              <w:t>Корпоративные и групповые туры</w:t>
            </w:r>
          </w:p>
        </w:tc>
        <w:tc>
          <w:tcPr/>
          <w:p>
            <w:r>
              <w:t>7 000 000</w:t>
            </w:r>
          </w:p>
        </w:tc>
        <w:tc>
          <w:tcPr/>
          <w:p>
            <w:r>
              <w:t>оценка: договорные блок-брони с турагентствами, усреднено помесячно с учётом сезонности</w:t>
            </w:r>
          </w:p>
        </w:tc>
      </w:tr>
      <w:tr>
        <w:tc>
          <w:tcPr/>
          <w:p>
            <w:r>
              <w:rPr>
                <w:b/>
              </w:rPr>
              <w:t>Итого выручка/мес</w:t>
            </w:r>
          </w:p>
        </w:tc>
        <w:tc>
          <w:tcPr/>
          <w:p>
            <w:r>
              <w:rPr>
                <w:b/>
              </w:rPr>
              <w:t>80 000 000</w:t>
            </w:r>
          </w:p>
        </w:tc>
        <w:tc>
          <w:tcPr/>
          <w:p/>
        </w:tc>
      </w:tr>
    </w:tbl>
    <w:p>
      <w:r>
        <w:rPr>
          <w:b/>
        </w:rPr>
        <w:t>Ежемесячные операционные расходы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ФОТ персонала</w:t>
            </w:r>
          </w:p>
        </w:tc>
        <w:tc>
          <w:tcPr/>
          <w:p>
            <w:r>
              <w:t>23 000 000</w:t>
            </w:r>
          </w:p>
        </w:tc>
        <w:tc>
          <w:tcPr/>
          <w:p>
            <w:r>
              <w:t>управляющий, 2 администратора-горничные, повар, уборщица, охранник (~6 чел.); ориентир — средняя зарплата по Узбекистану 6,16 млн / Ташкенту 10,38 млн сум</w:t>
            </w:r>
          </w:p>
        </w:tc>
      </w:tr>
      <w:tr>
        <w:tc>
          <w:tcPr/>
          <w:p>
            <w:r>
              <w:t>Коммунальные услуги</w:t>
            </w:r>
          </w:p>
        </w:tc>
        <w:tc>
          <w:tcPr/>
          <w:p>
            <w:r>
              <w:t>7 500 000</w:t>
            </w:r>
          </w:p>
        </w:tc>
        <w:tc>
          <w:tcPr/>
          <w:p>
            <w:r>
              <w:t>оценка по среднему тарифу для малых гостиниц на 8 номеров</w:t>
            </w:r>
          </w:p>
        </w:tc>
      </w:tr>
      <w:tr>
        <w:tc>
          <w:tcPr/>
          <w:p>
            <w:r>
              <w:t>Комиссии платформ бронирования</w:t>
            </w:r>
          </w:p>
        </w:tc>
        <w:tc>
          <w:tcPr/>
          <w:p>
            <w:r>
              <w:t>5 700 000</w:t>
            </w:r>
          </w:p>
        </w:tc>
        <w:tc>
          <w:tcPr/>
          <w:p>
            <w:r>
              <w:t>~15% комиссия Booking.com/Ostrovok с ~60% броней через OTA</w:t>
            </w:r>
          </w:p>
        </w:tc>
      </w:tr>
      <w:tr>
        <w:tc>
          <w:tcPr/>
          <w:p>
            <w:r>
              <w:t>Закупки для питания/уборки</w:t>
            </w:r>
          </w:p>
        </w:tc>
        <w:tc>
          <w:tcPr/>
          <w:p>
            <w:r>
              <w:t>9 000 000</w:t>
            </w:r>
          </w:p>
        </w:tc>
        <w:tc>
          <w:tcPr/>
          <w:p>
            <w:r>
              <w:t>оценка: продукты для завтраков, моющие средства, бельё в прачечную</w:t>
            </w:r>
          </w:p>
        </w:tc>
      </w:tr>
      <w:tr>
        <w:tc>
          <w:tcPr/>
          <w:p>
            <w:r>
              <w:t>Маркетинг и реклама</w:t>
            </w:r>
          </w:p>
        </w:tc>
        <w:tc>
          <w:tcPr/>
          <w:p>
            <w:r>
              <w:t>5 000 000</w:t>
            </w:r>
          </w:p>
        </w:tc>
        <w:tc>
          <w:tcPr/>
          <w:p>
            <w:r>
              <w:t>оценка: локальная реклама, соцсети, работа с блогерами/турагентствами</w:t>
            </w:r>
          </w:p>
        </w:tc>
      </w:tr>
      <w:tr>
        <w:tc>
          <w:tcPr/>
          <w:p>
            <w:r>
              <w:rPr>
                <w:b/>
              </w:rPr>
              <w:t>Итого расходы/мес</w:t>
            </w:r>
          </w:p>
        </w:tc>
        <w:tc>
          <w:tcPr/>
          <w:p>
            <w:r>
              <w:rPr>
                <w:b/>
              </w:rPr>
              <w:t>50 200 000</w:t>
            </w:r>
          </w:p>
        </w:tc>
        <w:tc>
          <w:tcPr/>
          <w:p/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Ежемесячная прибыль:</w:t>
                </w:r>
                <w:r>
                  <w:t xml:space="preserve"> 29 800 000 сум · </w:t>
                </w:r>
                <w:r>
                  <w:rPr>
                    <w:b/>
                  </w:rPr>
                  <w:t>Срок окупаемости:</w:t>
                </w:r>
                <w:r>
                  <w:t xml:space="preserve"> 31,5 мес. · </w:t>
                </w:r>
                <w:r>
                  <w:rPr>
                    <w:b/>
                  </w:rPr>
                  <w:t>Рентабельность продаж:</w:t>
                </w:r>
                <w:r>
                  <w:t xml:space="preserve"> 37,2%</w:t>
                </w:r>
              </w:p>
            </w:tc>
          </w:tr>
        </w:tbl>
      </w:sdtContent>
    </w:sdt>
    <w:p>
      <w:r>
        <w:rPr>
          <w:rStyle w:val="CkCaption"/>
          <w:i/>
        </w:rPr>
        <w:t>Как считался этот пример: сумма стартовых затрат — 940 млн сум (≈99% от заявленных 950 млн). Прибыль ≈29,8 млн сум/мес даёт окупаемость ≈31,5 мес. — соответствует заявленным ~3 сезонам.</w:t>
      </w:r>
    </w:p>
    <w:p>
      <w:r>
        <w:t>[Впишите] Пересчитайте таблицы выше на основе цен, ставок аренды/зарплат и объёмов продаж вашего проекта в вашем регионе.</w:t>
      </w:r>
    </w:p>
    <w:p>
      <w:pPr>
        <w:pStyle w:val="Heading2"/>
        <ck:id v="risks"/>
      </w:pPr>
      <w:bookmarkStart w:id="10" w:name="risks"/>
      <w:r>
        <w:t>Риски и меры по их снижению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Сезонность спроса (спад в жаркие летние и зимние месяцы)</w:t>
            </w:r>
          </w:p>
        </w:tc>
        <w:tc>
          <w:tcPr/>
          <w:p>
            <w:r>
              <w:t>Гибкое ценообразование, дополнительные услуги и пакеты в межсезонье, работа с внутренним туризмом</w:t>
            </w:r>
          </w:p>
        </w:tc>
      </w:tr>
      <w:tr>
        <w:tc>
          <w:tcPr/>
          <w:p>
            <w:r>
              <w:t>Высокие комиссии онлайн-платформ бронирования</w:t>
            </w:r>
          </w:p>
        </w:tc>
        <w:tc>
          <w:tcPr/>
          <w:p>
            <w:r>
              <w:t>Развитие прямых каналов продаж, программа повторных бронирований и постоянных клиентов</w:t>
            </w:r>
          </w:p>
        </w:tc>
      </w:tr>
      <w:tr>
        <w:tc>
          <w:tcPr/>
          <w:p>
            <w:r>
              <w:t>Изменение визовых/пограничных правил для ключевых рынков</w:t>
            </w:r>
          </w:p>
        </w:tc>
        <w:tc>
          <w:tcPr/>
          <w:p>
            <w:r>
              <w:t>Мониторинг регуляторики въездного туризма, диверсификация географии привлекаемых туристов</w:t>
            </w:r>
          </w:p>
        </w:tc>
      </w:tr>
      <w:tr>
        <w:tc>
          <w:tcPr/>
          <w:p>
            <w:r>
              <w:t>Быстрый рост числа новых объектов размещения и обострение конкуренции</w:t>
            </w:r>
          </w:p>
        </w:tc>
        <w:tc>
          <w:tcPr/>
          <w:p>
            <w:r>
              <w:t>Чёткое позиционирование и УТП (ниша, дизайн, сервис), а не конкуренция только по цене</w:t>
            </w:r>
          </w:p>
        </w:tc>
      </w:tr>
      <w:tr>
        <w:tc>
          <w:tcPr/>
          <w:p>
            <w:r>
              <w:t>Дефицит квалифицированного гостиничного персонала (особенно со знанием языков)</w:t>
            </w:r>
          </w:p>
        </w:tc>
        <w:tc>
          <w:tcPr/>
          <w:p>
            <w:r>
              <w:t>Обучение персонала, конкурентные условия труда, частичная автоматизация ресепшена</w:t>
            </w:r>
          </w:p>
        </w:tc>
      </w:tr>
      <w:tr>
        <w:tc>
          <w:tcPr/>
          <w:p>
            <w:r>
              <w:t>Ущерб историческим объектам/инфраструктуре от резкого роста турпотока</w:t>
            </w:r>
          </w:p>
        </w:tc>
        <w:tc>
          <w:tcPr/>
          <w:p>
            <w:r>
              <w:t>Учёт норм охраны исторического наследия при ремонте, участие в программах устойчивого туризма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