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Relationship Id="rIdCustom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Title"/>
        <ck:id v="section"/>
      </w:pPr>
      <w:bookmarkStart w:id="0" w:name="section"/>
      <w:r>
        <w:t>БИЗНЕС-ПЛАН: ТОРГОВЛЯ И ОБЩЕСТВЕННОЕ ПИТАНИЕ</w:t>
      </w:r>
      <w:bookmarkEnd w:id="0"/>
    </w:p>
    <w:p>
      <w:r>
        <w:rPr>
          <w:rStyle w:val="CkMuted"/>
        </w:rPr>
        <w:t>Пример: розничный магазин или точка общественного питания</w:t>
      </w:r>
    </w:p>
    <w:p>
      <w:r>
        <w:t>Название проекта: [впишите]</w:t>
      </w:r>
      <w:r>
        <w:br/>
      </w:r>
      <w:r>
        <w:t>Автор / компания: [впишите]</w:t>
      </w:r>
      <w:r>
        <w:br/>
      </w:r>
      <w:r>
        <w:t>Регион реализации: [впишите]</w:t>
      </w:r>
      <w:r>
        <w:br/>
      </w:r>
      <w:r>
        <w:t>Требуемая сумма инвестиций, сум: [впишите]</w:t>
      </w:r>
      <w:r>
        <w:br/>
      </w:r>
      <w:r>
        <w:t>Дата: [впишите]</w:t>
      </w:r>
    </w:p>
    <w:p>
      <w:r>
        <w:rPr>
          <w:rStyle w:val="CkCaption"/>
          <w:i/>
        </w:rPr>
        <w:t>Это готовый образец (шаблон) бизнес-плана MoliyaHub для отрасли «Торговля и общественное питание». Замените текст в квадратных скобках [впишите] и примеры на данные вашего проекта, добавьте или удалите пункты по необходимости. Абзацы в рамке, отмеченные «ПРИМЕР», и раздел «Пример финансового расчёта» — иллюстрация формата и порядка величины на основе рыночных ориентиров 2025-2026 года, а не факты и не финансовая отчётность о реальной компании: перед подачей в банк или инвестору замените их на данные своего проекта. Тот же расчёт с рабочими формулами (SUM, прибыль, срок окупаемости, рентабельность), которые пересчитываются автоматически, — в отдельном Excel-файле с тем же названием, который дополняет этот документ.</w:t>
      </w:r>
    </w:p>
    <w:p>
      <w:pPr>
        <w:pStyle w:val="Heading2"/>
        <ck:id v="resume"/>
      </w:pPr>
      <w:bookmarkStart w:id="1" w:name="resume"/>
      <w:r>
        <w:t>Резюме проекта</w:t>
      </w:r>
      <w:bookmarkEnd w:id="1"/>
    </w:p>
    <w:sdt>
      <w:sdtPr>
        <w:tag w:val="clarkdown:div"/>
        <ck:div v="|panel|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E4E4E4"/>
              </w:tcPr>
              <w:p>
                <w:r>
                  <w:rPr>
                    <w:rStyle w:val="CkKicker"/>
                  </w:rPr>
                  <w:t>ПРИМЕР</w:t>
                </w:r>
              </w:p>
              <w:p>
                <w:r>
                  <w:t>Кофейня «Qahva Vaqti» открывается в спальном районе Ташкента формата «кофе с собой» + 12 посадочных мест, с продажей выпечки собственного производства. Требуемые инвестиции — 480 млн сум на ремонт и оборудование; окупаемость — около 16 месяцев при среднем чеке 35 тыс. сум и 120 чеках в день.</w:t>
                </w:r>
              </w:p>
            </w:tc>
          </w:tr>
        </w:tbl>
      </w:sdtContent>
    </w:sdt>
    <w:p>
      <w:r>
        <w:t>[Впишите] В 5-8 предложениях: суть проекта, какую проблему решает, для кого, требуемая сумма инвестиций и на что она пойдёт, ожидаемый результат (выручка/прибыль/срок окупаемости).</w:t>
      </w:r>
    </w:p>
    <w:p>
      <w:pPr>
        <w:pStyle w:val="Heading2"/>
        <ck:id v="company"/>
      </w:pPr>
      <w:bookmarkStart w:id="2" w:name="company"/>
      <w:r>
        <w:t>Описание компании / проекта</w:t>
      </w:r>
      <w:bookmarkEnd w:id="2"/>
    </w:p>
    <w:p>
      <w:r>
        <w:t>[Впишите] Организационно-правовая форма (ИП/ООО/фермерское хозяйство), команда, текущий статус проекта (идея / MVP / действующий бизнес), уникальное торговое предложение.</w:t>
      </w:r>
    </w:p>
    <w:p>
      <w:pPr>
        <w:pStyle w:val="Heading2"/>
        <ck:id v="market"/>
      </w:pPr>
      <w:bookmarkStart w:id="3" w:name="market"/>
      <w:r>
        <w:t>Анализ рынка: Торговля и общественное питание</w:t>
      </w:r>
      <w:bookmarkEnd w:id="3"/>
    </w:p>
    <w:p>
      <w:pPr>
        <w:pStyle w:val="ListParagraph"/>
        <w:numPr>
          <w:ilvl w:val="0"/>
          <w:numId w:val="1"/>
        </w:numPr>
      </w:pPr>
      <w:r>
        <w:t>Розничная торговля и общепит — один из крупнейших секторов по числу МСБ в Узбекистане и одна из самых доступных точек входа для начинающего предпринимателя.</w:t>
      </w:r>
    </w:p>
    <w:p>
      <w:pPr>
        <w:pStyle w:val="ListParagraph"/>
        <w:numPr>
          <w:ilvl w:val="0"/>
          <w:numId w:val="1"/>
        </w:numPr>
      </w:pPr>
      <w:r>
        <w:t>E-commerce растёт стремительно: по данным Gazeta.uz, на платформе Uzum Market работает свыше 18 тыс. продавцов (рост на 32% с начала года), оборот продавцов год к году вырос на 60%, а весь GMV площадки за 2025 год превысил $500 млн (рост в 1,5 раза) при 34 млн заказов (gazeta.uz) — маркетплейсы становятся полноценным каналом сбыта, а не просто дополнением к офлайн-точке.</w:t>
      </w:r>
    </w:p>
    <w:p>
      <w:pPr>
        <w:pStyle w:val="ListParagraph"/>
        <w:numPr>
          <w:ilvl w:val="0"/>
          <w:numId w:val="1"/>
        </w:numPr>
      </w:pPr>
      <w:r>
        <w:t>90% продавцов на крупнейшем маркетплейсе — представители малого бизнеса из регионов, а не только столичные сети (gazeta.uz) — выход на маркетплейс реалистичен и для небольшого нового бизнеса.</w:t>
      </w:r>
    </w:p>
    <w:p>
      <w:pPr>
        <w:pStyle w:val="ListParagraph"/>
        <w:numPr>
          <w:ilvl w:val="0"/>
          <w:numId w:val="1"/>
        </w:numPr>
      </w:pPr>
      <w:r>
        <w:t>Рост доходов населения в крупных городах повышает спрос на современный формат торговли и питания — сетевые кофейни, фудкорты, магазины у дома с удобным форматом.</w:t>
      </w:r>
    </w:p>
    <w:p>
      <w:pPr>
        <w:pStyle w:val="ListParagraph"/>
        <w:numPr>
          <w:ilvl w:val="0"/>
          <w:numId w:val="1"/>
        </w:numPr>
      </w:pPr>
      <w:r>
        <w:t>Для сравнения: в Казахстане e-commerce и маркетплейсы (Kaspi.kz) достигли большей зрелости и доли в розничном обороте — узбекский рынок ещё в фазе быстрого роста, что даёт больше пространства для новых продавцов и брендов, чем на более насыщенных соседних рынках.</w:t>
      </w:r>
    </w:p>
    <w:p>
      <w:pPr>
        <w:pStyle w:val="ListParagraph"/>
        <w:numPr>
          <w:ilvl w:val="0"/>
          <w:numId w:val="1"/>
        </w:numPr>
      </w:pPr>
      <w:r>
        <w:t>[Впишите] Проходимость и конкурентов в конкретной локации, средний чек по сегменту — уточняйте прямым наблюдением на месте и в отраслевых обзорах ритейла.</w:t>
      </w:r>
    </w:p>
    <w:p>
      <w:pPr>
        <w:pStyle w:val="Heading3"/>
        <ck:id v="section-1"/>
      </w:pPr>
      <w:bookmarkStart w:id="4" w:name="section_1"/>
      <w:r>
        <w:t>Конкуренты</w:t>
      </w:r>
      <w:bookmarkEnd w:id="4"/>
    </w:p>
    <w:p>
      <w:r>
        <w:t>[Впишите] Список из 3-5 прямых конкурентов, их сильные и слабые стороны, чем вы отличаетесь.</w:t>
      </w:r>
    </w:p>
    <w:p>
      <w:pPr>
        <w:pStyle w:val="Heading3"/>
        <ck:id v="section-2"/>
      </w:pPr>
      <w:bookmarkStart w:id="5" w:name="section_2"/>
      <w:r>
        <w:t>Целевая аудитория</w:t>
      </w:r>
      <w:bookmarkEnd w:id="5"/>
    </w:p>
    <w:p>
      <w:r>
        <w:t>[Впишите] Портрет основного клиента: кто он, что для него важно при выборе, где его найти.</w:t>
      </w:r>
    </w:p>
    <w:p>
      <w:pPr>
        <w:pStyle w:val="Heading2"/>
        <ck:id v="marketing"/>
      </w:pPr>
      <w:bookmarkStart w:id="6" w:name="marketing"/>
      <w:r>
        <w:t>Маркетинговый план</w:t>
      </w:r>
      <w:bookmarkEnd w:id="6"/>
    </w:p>
    <w:sdt>
      <w:sdtPr>
        <w:tag w:val="clarkdown:div"/>
        <ck:div v="|panel|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E4E4E4"/>
              </w:tcPr>
              <w:p>
                <w:r>
                  <w:rPr>
                    <w:rStyle w:val="CkKicker"/>
                  </w:rPr>
                  <w:t>ПРИМЕР</w:t>
                </w:r>
              </w:p>
              <w:p>
                <w:r>
                  <w:t>Цена — на уровне среднего чека по району с акцентом на качество кофе и своей выпечки; продвижение — страницы в Instagram/Telegram с фото и акциями, программа лояльности (каждый 6-й кофе бесплатно), партнёрство с соседними офисами на корпоративные заказы.</w:t>
                </w:r>
              </w:p>
            </w:tc>
          </w:tr>
        </w:tbl>
      </w:sdtContent>
    </w:sdt>
    <w:p>
      <w:r>
        <w:t>[Впишите] Ценообразование, каналы продвижения и продаж, план привлечения первых клиентов.</w:t>
      </w:r>
    </w:p>
    <w:p>
      <w:pPr>
        <w:pStyle w:val="Heading2"/>
        <ck:id v="operations"/>
      </w:pPr>
      <w:bookmarkStart w:id="7" w:name="operations"/>
      <w:r>
        <w:t>Операционный план</w:t>
      </w:r>
      <w:bookmarkEnd w:id="7"/>
    </w:p>
    <w:sdt>
      <w:sdtPr>
        <w:tag w:val="clarkdown:div"/>
        <ck:div v="|panel|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E4E4E4"/>
              </w:tcPr>
              <w:p>
                <w:r>
                  <w:rPr>
                    <w:rStyle w:val="CkKicker"/>
                  </w:rPr>
                  <w:t>ПРИМЕР</w:t>
                </w:r>
              </w:p>
              <w:p>
                <w:r>
                  <w:t>Цикл: закупка сырья у поставщиков → приготовление на месте → продажа в зале/навынос → учёт выручки через ККМ. Ключевые поставщики — обжарщик кофе, поставщик молочной продукции и выпечки. Требуется регистрация ККМ и санитарно-эпидемиологическое заключение.</w:t>
                </w:r>
              </w:p>
            </w:tc>
          </w:tr>
        </w:tbl>
      </w:sdtContent>
    </w:sdt>
    <w:p>
      <w:r>
        <w:t>[Впишите] Процесс производства/оказания услуги, ключевые поставщики, оборудование, необходимые лицензии и разрешения.</w:t>
      </w:r>
    </w:p>
    <w:p>
      <w:pPr>
        <w:pStyle w:val="Heading2"/>
        <ck:id v="org"/>
      </w:pPr>
      <w:bookmarkStart w:id="8" w:name="org"/>
      <w:r>
        <w:t>Организационный план</w:t>
      </w:r>
      <w:bookmarkEnd w:id="8"/>
    </w:p>
    <w:sdt>
      <w:sdtPr>
        <w:tag w:val="clarkdown:div"/>
        <ck:div v="|panel|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E4E4E4"/>
              </w:tcPr>
              <w:p>
                <w:r>
                  <w:rPr>
                    <w:rStyle w:val="CkKicker"/>
                  </w:rPr>
                  <w:t>ПРИМЕР</w:t>
                </w:r>
              </w:p>
              <w:p>
                <w:r>
                  <w:t>Владелец-управляющий, 2 бариста посменно, кондитер на part-time, уборщица на аутсорсе. Форма — ИП на начальном этапе, переход в ООО при расширении до сети.</w:t>
                </w:r>
              </w:p>
            </w:tc>
          </w:tr>
        </w:tbl>
      </w:sdtContent>
    </w:sdt>
    <w:p>
      <w:r>
        <w:t>[Впишите] Команда и роли, штатное расписание, организационно-правовая форма.</w:t>
      </w:r>
    </w:p>
    <w:p>
      <w:pPr>
        <w:pStyle w:val="Heading2"/>
        <ck:id v="financial-example"/>
      </w:pPr>
      <w:bookmarkStart w:id="9" w:name="financial_example"/>
      <w:r>
        <w:t>Пример финансового расчёта</w:t>
      </w:r>
      <w:bookmarkEnd w:id="9"/>
    </w:p>
    <w:p>
      <w:r>
        <w:rPr>
          <w:rStyle w:val="CkCaption"/>
          <w:i/>
        </w:rPr>
        <w:t>Ниже — полностью посчитанный пример для иллюстративной компании из резюме, на основе рыночных ориентиров 2025-2026 года (аренда, зарплаты, цены на оборудование, налоги, ставки — со ссылкой на источник там, где он известен) и экспертных оценок порядка величины там, где точных данных нет (это отмечено в комментариях). Он показывает логику расчёта и реалистичный масштаб цифр — это не финансовая отчётность и не готовая заявка на кредит. Тот же расчёт с рабочими формулами — в Excel-файле с тем же названием; замените суммы там на данные своего проекта, и всё пересчитается автоматически.</w:t>
      </w:r>
    </w:p>
    <w:p>
      <w:r>
        <w:rPr>
          <w:b/>
        </w:rPr>
        <w:t>Стартовые затраты (единоразово)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Статья</w:t>
            </w:r>
          </w:p>
        </w:tc>
        <w:tc>
          <w:tcPr/>
          <w:p>
            <w:r>
              <w:rPr>
                <w:b/>
              </w:rPr>
              <w:t>Сумма, сум</w:t>
            </w:r>
          </w:p>
        </w:tc>
        <w:tc>
          <w:tcPr/>
          <w:p>
            <w:r>
              <w:rPr>
                <w:b/>
              </w:rPr>
              <w:t>Комментарий</w:t>
            </w:r>
          </w:p>
        </w:tc>
      </w:tr>
      <w:tr>
        <w:tc>
          <w:tcPr/>
          <w:p>
            <w:r>
              <w:t>Аренда и ремонт торговой точки</w:t>
            </w:r>
          </w:p>
        </w:tc>
        <w:tc>
          <w:tcPr/>
          <w:p>
            <w:r>
              <w:t>250 000 000</w:t>
            </w:r>
          </w:p>
        </w:tc>
        <w:tc>
          <w:tcPr/>
          <w:p>
            <w:r>
              <w:t>оценка: отделка ~70-90 м² под кофейню (барная стойка, электрика, интерьер) в спальном районе Ташкента</w:t>
            </w:r>
          </w:p>
        </w:tc>
      </w:tr>
      <w:tr>
        <w:tc>
          <w:tcPr/>
          <w:p>
            <w:r>
              <w:t>Торговое / кухонное оборудование</w:t>
            </w:r>
          </w:p>
        </w:tc>
        <w:tc>
          <w:tcPr/>
          <w:p>
            <w:r>
              <w:t>160 000 000</w:t>
            </w:r>
          </w:p>
        </w:tc>
        <w:tc>
          <w:tcPr/>
          <w:p>
            <w:r>
              <w:t>оценка: проф. кофемашина, кофемолки, холодильная витрина, POS-касса, мебель на 12 мест</w:t>
            </w:r>
          </w:p>
        </w:tc>
      </w:tr>
      <w:tr>
        <w:tc>
          <w:tcPr/>
          <w:p>
            <w:r>
              <w:t>Первая товарная партия / запасы</w:t>
            </w:r>
          </w:p>
        </w:tc>
        <w:tc>
          <w:tcPr/>
          <w:p>
            <w:r>
              <w:t>45 000 000</w:t>
            </w:r>
          </w:p>
        </w:tc>
        <w:tc>
          <w:tcPr/>
          <w:p>
            <w:r>
              <w:t>оценка: кофе, молоко, сиропы, стаканы, ингредиенты для выпечки на первый месяц</w:t>
            </w:r>
          </w:p>
        </w:tc>
      </w:tr>
      <w:tr>
        <w:tc>
          <w:tcPr/>
          <w:p>
            <w:r>
              <w:t>Регистрация ККМ и разрешений</w:t>
            </w:r>
          </w:p>
        </w:tc>
        <w:tc>
          <w:tcPr/>
          <w:p>
            <w:r>
              <w:t>8 000 000</w:t>
            </w:r>
          </w:p>
        </w:tc>
        <w:tc>
          <w:tcPr/>
          <w:p>
            <w:r>
              <w:t>оценка: онлайн-касса (ККМ), санитарные и торговые разрешения</w:t>
            </w:r>
          </w:p>
        </w:tc>
      </w:tr>
      <w:tr>
        <w:tc>
          <w:tcPr/>
          <w:p>
            <w:r>
              <w:t>Вывеска и брендинг</w:t>
            </w:r>
          </w:p>
        </w:tc>
        <w:tc>
          <w:tcPr/>
          <w:p>
            <w:r>
              <w:t>12 000 000</w:t>
            </w:r>
          </w:p>
        </w:tc>
        <w:tc>
          <w:tcPr/>
          <w:p>
            <w:r>
              <w:t>оценка: наружная вывеска, дизайн меню/упаковки, форма персонала</w:t>
            </w:r>
          </w:p>
        </w:tc>
      </w:tr>
      <w:tr>
        <w:tc>
          <w:tcPr/>
          <w:p>
            <w:r>
              <w:t>Регистрация продавцом на маркетплейсе</w:t>
            </w:r>
          </w:p>
        </w:tc>
        <w:tc>
          <w:tcPr/>
          <w:p>
            <w:r>
              <w:t>5 000 000</w:t>
            </w:r>
          </w:p>
        </w:tc>
        <w:tc>
          <w:tcPr/>
          <w:p>
            <w:r>
              <w:t>оценка: подключение к агрегаторам доставки (Yandex Eats, Uzum Tezkor, Wolt)</w:t>
            </w:r>
          </w:p>
        </w:tc>
      </w:tr>
      <w:tr>
        <w:tc>
          <w:tcPr/>
          <w:p>
            <w:r>
              <w:rPr>
                <w:b/>
              </w:rPr>
              <w:t>Итого стартовые затраты</w:t>
            </w:r>
          </w:p>
        </w:tc>
        <w:tc>
          <w:tcPr/>
          <w:p>
            <w:r>
              <w:rPr>
                <w:b/>
              </w:rPr>
              <w:t>480 000 000</w:t>
            </w:r>
          </w:p>
        </w:tc>
        <w:tc>
          <w:tcPr/>
          <w:p/>
        </w:tc>
      </w:tr>
    </w:tbl>
    <w:p>
      <w:r>
        <w:rPr>
          <w:b/>
        </w:rPr>
        <w:t>Ежемесячная выручка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Статья</w:t>
            </w:r>
          </w:p>
        </w:tc>
        <w:tc>
          <w:tcPr/>
          <w:p>
            <w:r>
              <w:rPr>
                <w:b/>
              </w:rPr>
              <w:t>Сумма, сум</w:t>
            </w:r>
          </w:p>
        </w:tc>
        <w:tc>
          <w:tcPr/>
          <w:p>
            <w:r>
              <w:rPr>
                <w:b/>
              </w:rPr>
              <w:t>Комментарий</w:t>
            </w:r>
          </w:p>
        </w:tc>
      </w:tr>
      <w:tr>
        <w:tc>
          <w:tcPr/>
          <w:p>
            <w:r>
              <w:t>Розничные продажи в точке</w:t>
            </w:r>
          </w:p>
        </w:tc>
        <w:tc>
          <w:tcPr/>
          <w:p>
            <w:r>
              <w:t>88 200 000</w:t>
            </w:r>
          </w:p>
        </w:tc>
        <w:tc>
          <w:tcPr/>
          <w:p>
            <w:r>
              <w:t>70% от базовой выручки (средний чек 35 тыс. сум × 120 чеков/день × 30 дн = 126 млн сум/мес — из резюме)</w:t>
            </w:r>
          </w:p>
        </w:tc>
      </w:tr>
      <w:tr>
        <w:tc>
          <w:tcPr/>
          <w:p>
            <w:r>
              <w:t>Онлайн-продажи / доставка</w:t>
            </w:r>
          </w:p>
        </w:tc>
        <w:tc>
          <w:tcPr/>
          <w:p>
            <w:r>
              <w:t>25 200 000</w:t>
            </w:r>
          </w:p>
        </w:tc>
        <w:tc>
          <w:tcPr/>
          <w:p>
            <w:r>
              <w:t>20% от базовой выручки — агрегаторы доставки и соцсети/telegram-заказы</w:t>
            </w:r>
          </w:p>
        </w:tc>
      </w:tr>
      <w:tr>
        <w:tc>
          <w:tcPr/>
          <w:p>
            <w:r>
              <w:t>Опт для небольших партнёров</w:t>
            </w:r>
          </w:p>
        </w:tc>
        <w:tc>
          <w:tcPr/>
          <w:p>
            <w:r>
              <w:t>7 560 000</w:t>
            </w:r>
          </w:p>
        </w:tc>
        <w:tc>
          <w:tcPr/>
          <w:p>
            <w:r>
              <w:t>6% от базовой выручки — продажа выпечки/кофе небольшим офисам поблизости</w:t>
            </w:r>
          </w:p>
        </w:tc>
      </w:tr>
      <w:tr>
        <w:tc>
          <w:tcPr/>
          <w:p>
            <w:r>
              <w:t>Корпоративные заказы</w:t>
            </w:r>
          </w:p>
        </w:tc>
        <w:tc>
          <w:tcPr/>
          <w:p>
            <w:r>
              <w:t>5 040 000</w:t>
            </w:r>
          </w:p>
        </w:tc>
        <w:tc>
          <w:tcPr/>
          <w:p>
            <w:r>
              <w:t>4% от базовой выручки — кейтеринг на офисные встречи по соседству</w:t>
            </w:r>
          </w:p>
        </w:tc>
      </w:tr>
      <w:tr>
        <w:tc>
          <w:tcPr/>
          <w:p>
            <w:r>
              <w:rPr>
                <w:b/>
              </w:rPr>
              <w:t>Итого выручка/мес</w:t>
            </w:r>
          </w:p>
        </w:tc>
        <w:tc>
          <w:tcPr/>
          <w:p>
            <w:r>
              <w:rPr>
                <w:b/>
              </w:rPr>
              <w:t>126 000 000</w:t>
            </w:r>
          </w:p>
        </w:tc>
        <w:tc>
          <w:tcPr/>
          <w:p/>
        </w:tc>
      </w:tr>
    </w:tbl>
    <w:p>
      <w:r>
        <w:rPr>
          <w:b/>
        </w:rPr>
        <w:t>Ежемесячные операционные расходы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Статья</w:t>
            </w:r>
          </w:p>
        </w:tc>
        <w:tc>
          <w:tcPr/>
          <w:p>
            <w:r>
              <w:rPr>
                <w:b/>
              </w:rPr>
              <w:t>Сумма, сум</w:t>
            </w:r>
          </w:p>
        </w:tc>
        <w:tc>
          <w:tcPr/>
          <w:p>
            <w:r>
              <w:rPr>
                <w:b/>
              </w:rPr>
              <w:t>Комментарий</w:t>
            </w:r>
          </w:p>
        </w:tc>
      </w:tr>
      <w:tr>
        <w:tc>
          <w:tcPr/>
          <w:p>
            <w:r>
              <w:t>Аренда</w:t>
            </w:r>
          </w:p>
        </w:tc>
        <w:tc>
          <w:tcPr/>
          <w:p>
            <w:r>
              <w:t>18 000 000</w:t>
            </w:r>
          </w:p>
        </w:tc>
        <w:tc>
          <w:tcPr/>
          <w:p>
            <w:r>
              <w:t>оценка аренды ~70-90 м² в спальном районе Ташкента с хорошей проходимостью</w:t>
            </w:r>
          </w:p>
        </w:tc>
      </w:tr>
      <w:tr>
        <w:tc>
          <w:tcPr/>
          <w:p>
            <w:r>
              <w:t>ФОТ персонала</w:t>
            </w:r>
          </w:p>
        </w:tc>
        <w:tc>
          <w:tcPr/>
          <w:p>
            <w:r>
              <w:t>26 000 000</w:t>
            </w:r>
          </w:p>
        </w:tc>
        <w:tc>
          <w:tcPr/>
          <w:p>
            <w:r>
              <w:t>2 бариста посменно (~4,5 млн/чел.), кондитер part-time (~3,5 млн), уборщица part-time (~2 млн); ориентир — средняя зарплата по Ташкенту 10,38 млн</w:t>
            </w:r>
          </w:p>
        </w:tc>
      </w:tr>
      <w:tr>
        <w:tc>
          <w:tcPr/>
          <w:p>
            <w:r>
              <w:t>Закупка товара / продуктов</w:t>
            </w:r>
          </w:p>
        </w:tc>
        <w:tc>
          <w:tcPr/>
          <w:p>
            <w:r>
              <w:t>40 300 000</w:t>
            </w:r>
          </w:p>
        </w:tc>
        <w:tc>
          <w:tcPr/>
          <w:p>
            <w:r>
              <w:t>COGS ≈32% от выручки — типичная доля себестоимости зерна, молока, сиропов и выпечки для кофеен to-go</w:t>
            </w:r>
          </w:p>
        </w:tc>
      </w:tr>
      <w:tr>
        <w:tc>
          <w:tcPr/>
          <w:p>
            <w:r>
              <w:t>Коммунальные услуги</w:t>
            </w:r>
          </w:p>
        </w:tc>
        <w:tc>
          <w:tcPr/>
          <w:p>
            <w:r>
              <w:t>5 000 000</w:t>
            </w:r>
          </w:p>
        </w:tc>
        <w:tc>
          <w:tcPr/>
          <w:p>
            <w:r>
              <w:t>оценка: электроэнергия (кофемашина, холодильники), вода, отопление</w:t>
            </w:r>
          </w:p>
        </w:tc>
      </w:tr>
      <w:tr>
        <w:tc>
          <w:tcPr/>
          <w:p>
            <w:r>
              <w:t>Комиссии маркетплейсов/агрегаторов доставки</w:t>
            </w:r>
          </w:p>
        </w:tc>
        <w:tc>
          <w:tcPr/>
          <w:p>
            <w:r>
              <w:t>6 300 000</w:t>
            </w:r>
          </w:p>
        </w:tc>
        <w:tc>
          <w:tcPr/>
          <w:p>
            <w:r>
              <w:t>~25% комиссия с выручки через доставку — типичная комиссия Yandex Eats/аналогов</w:t>
            </w:r>
          </w:p>
        </w:tc>
      </w:tr>
      <w:tr>
        <w:tc>
          <w:tcPr/>
          <w:p>
            <w:r>
              <w:t>Налоги</w:t>
            </w:r>
          </w:p>
        </w:tc>
        <w:tc>
          <w:tcPr/>
          <w:p>
            <w:r>
              <w:t>1 700 000</w:t>
            </w:r>
          </w:p>
        </w:tc>
        <w:tc>
          <w:tcPr/>
          <w:p>
            <w:r>
              <w:t>налог с оборота 1% для ИП/самозанятых (ставка с 2026 г., azma.uz) + фиксированный соц. налог от 1 БРВ ≈412 тыс. сум/мес</w:t>
            </w:r>
          </w:p>
        </w:tc>
      </w:tr>
      <w:tr>
        <w:tc>
          <w:tcPr/>
          <w:p>
            <w:r>
              <w:rPr>
                <w:b/>
              </w:rPr>
              <w:t>Итого расходы/мес</w:t>
            </w:r>
          </w:p>
        </w:tc>
        <w:tc>
          <w:tcPr/>
          <w:p>
            <w:r>
              <w:rPr>
                <w:b/>
              </w:rPr>
              <w:t>97 300 000</w:t>
            </w:r>
          </w:p>
        </w:tc>
        <w:tc>
          <w:tcPr/>
          <w:p/>
        </w:tc>
      </w:tr>
    </w:tbl>
    <w:sdt>
      <w:sdtPr>
        <w:tag w:val="clarkdown:div"/>
        <ck:div v="|panel|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E4E4E4"/>
              </w:tcPr>
              <w:p>
                <w:r>
                  <w:rPr>
                    <w:b/>
                  </w:rPr>
                  <w:t>Ежемесячная прибыль:</w:t>
                </w:r>
                <w:r>
                  <w:t xml:space="preserve"> 28 700 000 сум · </w:t>
                </w:r>
                <w:r>
                  <w:rPr>
                    <w:b/>
                  </w:rPr>
                  <w:t>Срок окупаемости:</w:t>
                </w:r>
                <w:r>
                  <w:t xml:space="preserve"> 16,7 мес. · </w:t>
                </w:r>
                <w:r>
                  <w:rPr>
                    <w:b/>
                  </w:rPr>
                  <w:t>Рентабельность продаж:</w:t>
                </w:r>
                <w:r>
                  <w:t xml:space="preserve"> 22,8%</w:t>
                </w:r>
              </w:p>
            </w:tc>
          </w:tr>
        </w:tbl>
      </w:sdtContent>
    </w:sdt>
    <w:p>
      <w:r>
        <w:rPr>
          <w:rStyle w:val="CkCaption"/>
          <w:i/>
        </w:rPr>
        <w:t>Как считался этот пример: сумма стартовых затрат — 480 млн сум, точно соответствует резюме. Прибыль ≈28,7 млн сум/мес даёт окупаемость ≈16,7 мес. — близко к заявленным ~16 мес.</w:t>
      </w:r>
    </w:p>
    <w:p>
      <w:r>
        <w:t>[Впишите] Пересчитайте таблицы выше на основе цен, ставок аренды/зарплат и объёмов продаж вашего проекта в вашем регионе.</w:t>
      </w:r>
    </w:p>
    <w:p>
      <w:pPr>
        <w:pStyle w:val="Heading2"/>
        <ck:id v="risks"/>
      </w:pPr>
      <w:bookmarkStart w:id="10" w:name="risks"/>
      <w:r>
        <w:t>Риски и меры по их снижению</w:t>
      </w:r>
      <w:bookmarkEnd w:id="10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Риск</w:t>
            </w:r>
          </w:p>
        </w:tc>
        <w:tc>
          <w:tcPr/>
          <w:p>
            <w:r>
              <w:rPr>
                <w:b/>
              </w:rPr>
              <w:t>Меры снижения</w:t>
            </w:r>
          </w:p>
        </w:tc>
      </w:tr>
      <w:tr>
        <w:tc>
          <w:tcPr/>
          <w:p>
            <w:r>
              <w:t>Высокая конкуренция в насыщенных локациях</w:t>
            </w:r>
          </w:p>
        </w:tc>
        <w:tc>
          <w:tcPr/>
          <w:p>
            <w:r>
              <w:t>Уникальное позиционирование, программа лояльности, узнаваемый бренд</w:t>
            </w:r>
          </w:p>
        </w:tc>
      </w:tr>
      <w:tr>
        <w:tc>
          <w:tcPr/>
          <w:p>
            <w:r>
              <w:t>Порча/списание скоропортящегося товара</w:t>
            </w:r>
          </w:p>
        </w:tc>
        <w:tc>
          <w:tcPr/>
          <w:p>
            <w:r>
              <w:t>Контроль запасов, принцип FIFO, гибкое меню под остатки</w:t>
            </w:r>
          </w:p>
        </w:tc>
      </w:tr>
      <w:tr>
        <w:tc>
          <w:tcPr/>
          <w:p>
            <w:r>
              <w:t>Изменение потребительского спроса и трендов</w:t>
            </w:r>
          </w:p>
        </w:tc>
        <w:tc>
          <w:tcPr/>
          <w:p>
            <w:r>
              <w:t>Регулярный анализ продаж и ассортимента, тестирование новых позиций малыми партиями</w:t>
            </w:r>
          </w:p>
        </w:tc>
      </w:tr>
      <w:tr>
        <w:tc>
          <w:tcPr/>
          <w:p>
            <w:r>
              <w:t>Рост комиссий и зависимость от маркетплейсов/агрегаторов доставки</w:t>
            </w:r>
          </w:p>
        </w:tc>
        <w:tc>
          <w:tcPr/>
          <w:p>
            <w:r>
              <w:t>Развитие собственных каналов продаж (соцсети, повторные заказы) параллельно с маркетплейсами</w:t>
            </w:r>
          </w:p>
        </w:tc>
      </w:tr>
      <w:tr>
        <w:tc>
          <w:tcPr/>
          <w:p>
            <w:r>
              <w:t>Рост арендных ставок в проходных локациях</w:t>
            </w:r>
          </w:p>
        </w:tc>
        <w:tc>
          <w:tcPr/>
          <w:p>
            <w:r>
              <w:t>Долгосрочный договор аренды с фиксацией ставки, резервная локация</w:t>
            </w:r>
          </w:p>
        </w:tc>
      </w:tr>
      <w:tr>
        <w:tc>
          <w:tcPr/>
          <w:p>
            <w:r>
              <w:t>Дефицит и текучесть линейного персонала (бариста, продавцы)</w:t>
            </w:r>
          </w:p>
        </w:tc>
        <w:tc>
          <w:tcPr/>
          <w:p>
            <w:r>
              <w:t>Понятная система мотивации, обучение при найме, комфортные условия труда</w:t>
            </w:r>
          </w:p>
        </w:tc>
      </w:tr>
    </w:tbl>
    <w:p>
      <w:r>
        <w:t>[Впишите] Дополните таблицу своими рисками, специфичными для вашего проекта и региона.</w:t>
      </w:r>
    </w:p>
    <w:sectPr>
      <ck:section v="1:||margins=1.1in,size=letter"/>
      <w:footerReference w:type="default" r:id="rIdHf1"/>
      <w:pgSz w:w="12240" w:h="15840"/>
      <w:pgMar w:top="1584" w:right="1584" w:bottom="1584" w:left="1584" w:header="720" w:footer="720" w:gutter="0"/>
    </w:sectPr>
  </w:body>
</w:document>
</file>

<file path=word/fontTable.xml><?xml version="1.0" encoding="utf-8"?>
<w:fonts xmlns:w="http://schemas.openxmlformats.org/wordprocessingml/2006/main">
  <w:font w:name="Cambria">
    <w:family w:val="roman"/>
  </w:font>
  <w:font w:name="Consolas">
    <w:family w:val="modern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sdt>
    <w:sdtPr>
      <w:tag w:val="clarkdown:div"/>
      <ck:div v="||text-align=center"/>
    </w:sdtPr>
    <w:sdtContent>
      <w:p>
        <w:pPr>
          <w:jc w:val="center"/>
        </w:pPr>
        <w:r>
          <w:t xml:space="preserve">MoliyaHub · </w:t>
        </w:r>
        <w:fldSimple w:instr="PAGE">
          <w:r>
            <w:t>1</w:t>
          </w:r>
        </w:fldSimple>
      </w:p>
    </w:sdtContent>
  </w:sdt>
</w:ftr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mbria" w:hAnsi="Cambria" w:cs="Cambria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mbria" w:hAnsi="Cambria"/>
      <w:b/>
      <w:color w:val="1A1A1A"/>
      <w:sz w:val="38"/>
      <w:szCs w:val="38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mbria" w:hAnsi="Cambria"/>
      <w:b/>
      <w:sz w:val="32"/>
      <w:szCs w:val="32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mbria" w:hAnsi="Cambria"/>
      <w:b/>
      <w:sz w:val="26"/>
      <w:szCs w:val="26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mbria" w:hAnsi="Cambria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mbria" w:hAnsi="Cambria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mbria" w:hAnsi="Cambria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mbria" w:hAnsi="Cambria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mbria" w:hAnsi="Cambria"/>
      <w:b/>
      <w:sz w:val="46"/>
      <w:szCs w:val="46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Relationship Id="rIdHf1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rkdownFrontMatter">
    <vt:lpwstr>{"kv":{"theme":"serif"},"v":1}</vt:lpwstr>
  </property>
</Properties>
</file>