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Custom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="http://schemas.openxmlformats.org/officeDocument/2006/math" xmlns:mc="http://schemas.openxmlformats.org/markup-compatibility/2006" xmlns:ck="urn:clarkdown:docx" mc:Ignorable="ck">
  <w:body>
    <w:p>
      <w:pPr>
        <w:pStyle w:val="Title"/>
        <ck:id v="section"/>
      </w:pPr>
      <w:bookmarkStart w:id="0" w:name="section"/>
      <w:r>
        <w:t>БИЗНЕС-ПЛАН: СЕЛЬСКОЕ, ЛЕСНОЕ И РЫБНОЕ ХОЗЯЙСТВО</w:t>
      </w:r>
      <w:bookmarkEnd w:id="0"/>
    </w:p>
    <w:p>
      <w:r>
        <w:rPr>
          <w:rStyle w:val="CkMuted"/>
        </w:rPr>
        <w:t>Пример: фермерское хозяйство (растениеводство или животноводство)</w:t>
      </w:r>
    </w:p>
    <w:p>
      <w:r>
        <w:t>Название проекта: [впишите]</w:t>
      </w:r>
      <w:r>
        <w:br/>
      </w:r>
      <w:r>
        <w:t>Автор / компания: [впишите]</w:t>
      </w:r>
      <w:r>
        <w:br/>
      </w:r>
      <w:r>
        <w:t>Регион реализации: [впишите]</w:t>
      </w:r>
      <w:r>
        <w:br/>
      </w:r>
      <w:r>
        <w:t>Требуемая сумма инвестиций, сум: [впишите]</w:t>
      </w:r>
      <w:r>
        <w:br/>
      </w:r>
      <w:r>
        <w:t>Дата: [впишите]</w:t>
      </w:r>
    </w:p>
    <w:p>
      <w:r>
        <w:rPr>
          <w:rStyle w:val="CkCaption"/>
          <w:i/>
        </w:rPr>
        <w:t>Это готовый образец (шаблон) бизнес-плана MoliyaHub для отрасли «Сельское, лесное и рыбное хозяйство». Замените текст в квадратных скобках [впишите] и примеры на данные вашего проекта, добавьте или удалите пункты по необходимости. Абзацы в рамке, отмеченные «ПРИМЕР», — иллюстрация формата ответа, а не факты о реальной компании. Финансовый план с рабочими формулами (SUM, прибыль, срок окупаемости, рентабельность) — в отдельном Excel-файле с тем же названием, который дополняет этот документ.</w:t>
      </w:r>
    </w:p>
    <w:p>
      <w:pPr>
        <w:pStyle w:val="Heading2"/>
        <ck:id v="resume"/>
      </w:pPr>
      <w:bookmarkStart w:id="1" w:name="resume"/>
      <w:r>
        <w:t>Резюме проекта</w:t>
      </w:r>
      <w:bookmarkEnd w:id="1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Фермерское хозяйство «Bog' Diyori» в Самаркандской области закладывает интенсивный яблоневый сад на 5 га по капельному орошению и строит небольшое овощехранилище с холодильной камерой. Требуемые инвестиции — 620 млн сум; выход на товарный урожай — с 3-го года, окупаемость сада с учётом хранения продукции — ориентировочно 5-6 лет.</w:t>
                </w:r>
              </w:p>
            </w:tc>
          </w:tr>
        </w:tbl>
      </w:sdtContent>
    </w:sdt>
    <w:p>
      <w:r>
        <w:t>[Впишите] В 5-8 предложениях: суть проекта, какую проблему решает, для кого, требуемая сумма инвестиций и на что она пойдёт, ожидаемый результат (выручка/прибыль/срок окупаемости).</w:t>
      </w:r>
    </w:p>
    <w:p>
      <w:pPr>
        <w:pStyle w:val="Heading2"/>
        <ck:id v="company"/>
      </w:pPr>
      <w:bookmarkStart w:id="2" w:name="company"/>
      <w:r>
        <w:t>Описание компании / проекта</w:t>
      </w:r>
      <w:bookmarkEnd w:id="2"/>
    </w:p>
    <w:p>
      <w:r>
        <w:t>[Впишите] Организационно-правовая форма (ИП/ООО/фермерское хозяйство), команда, текущий статус проекта (идея / MVP / действующий бизнес), уникальное торговое предложение.</w:t>
      </w:r>
    </w:p>
    <w:p>
      <w:pPr>
        <w:pStyle w:val="Heading2"/>
        <ck:id v="market"/>
      </w:pPr>
      <w:bookmarkStart w:id="3" w:name="market"/>
      <w:r>
        <w:t>Анализ рынка: Сельское, лесное и рыбное хозяйство</w:t>
      </w:r>
      <w:bookmarkEnd w:id="3"/>
    </w:p>
    <w:p>
      <w:pPr>
        <w:pStyle w:val="ListParagraph"/>
        <w:numPr>
          <w:ilvl w:val="0"/>
          <w:numId w:val="1"/>
        </w:numPr>
      </w:pPr>
      <w:r>
        <w:t>Сельское хозяйство исторически остаётся одним из крупнейших секторов экономики Узбекистана по числу занятых, особенно в сельской местности — точную актуальную долю в ВВП на момент вашего запуска уточняйте по данным Госкомстата (stat.uz).</w:t>
      </w:r>
    </w:p>
    <w:p>
      <w:pPr>
        <w:pStyle w:val="ListParagraph"/>
        <w:numPr>
          <w:ilvl w:val="0"/>
          <w:numId w:val="1"/>
        </w:numPr>
      </w:pPr>
      <w:r>
        <w:t>Узбекистан входит в число ведущих мировых производителей и экспортёров хлопка-волокна, а также является крупным производителем плодоовощной продукции, винограда и бахчевых в Центральной Азии.</w:t>
      </w:r>
    </w:p>
    <w:p>
      <w:pPr>
        <w:pStyle w:val="ListParagraph"/>
        <w:numPr>
          <w:ilvl w:val="0"/>
          <w:numId w:val="1"/>
        </w:numPr>
      </w:pPr>
      <w:r>
        <w:t>Действуют программы льготного кредитования фермеров (Агробанк, лизинг сельхозтехники через Uzagrolizing) и субсидии на удобрения/технику — условия и ставки меняются по годам, уточняйте актуальные на момент запуска в местном хокимияте или банке.</w:t>
      </w:r>
    </w:p>
    <w:p>
      <w:pPr>
        <w:pStyle w:val="ListParagraph"/>
        <w:numPr>
          <w:ilvl w:val="0"/>
          <w:numId w:val="1"/>
        </w:numPr>
      </w:pPr>
      <w:r>
        <w:t>Растёт спрос на плодоовощную продукцию и продукты переработки как на внутреннем рынке, так и на экспорт (Россия, Казахстан, страны Персидского залива) — но экспорт свежей продукции требует холодильной логистики, без которой значительная часть урожая теряется при хранении и транспортировке.</w:t>
      </w:r>
    </w:p>
    <w:p>
      <w:pPr>
        <w:pStyle w:val="ListParagraph"/>
        <w:numPr>
          <w:ilvl w:val="0"/>
          <w:numId w:val="1"/>
        </w:numPr>
      </w:pPr>
      <w:r>
        <w:t>Для сравнения: Казахстан и Россия — крупные рынки сбыта для узбекского плодоовощного экспорта, но одновременно наращивают собственное тепличное производство (особенно Казахстан), что усиливает сезонную ценовую конкуренцию именно в межсезонье.</w:t>
      </w:r>
    </w:p>
    <w:p>
      <w:pPr>
        <w:pStyle w:val="ListParagraph"/>
        <w:numPr>
          <w:ilvl w:val="0"/>
          <w:numId w:val="1"/>
        </w:numPr>
      </w:pPr>
      <w:r>
        <w:t>Государство продолжает реформу земельных отношений и развитие кластерной модели в отдельных культурах (хлопок, зерно, плодоовощи) — при выборе культуры стоит уточнить, действует ли в регионе кластер и какие обязательства/льготы он даёт.</w:t>
      </w:r>
    </w:p>
    <w:p>
      <w:pPr>
        <w:pStyle w:val="ListParagraph"/>
        <w:numPr>
          <w:ilvl w:val="0"/>
          <w:numId w:val="1"/>
        </w:numPr>
      </w:pPr>
      <w:r>
        <w:t>[Впишите] Урожайность/продуктивность для вашей культуры или вида скота в вашем регионе, закупочные цены — эти данные лучше уточнить у местного хокимията, отраслевой ассоциации или в статистике stat.uz по конкретному региону.</w:t>
      </w:r>
    </w:p>
    <w:p>
      <w:pPr>
        <w:pStyle w:val="Heading3"/>
        <ck:id v="section-1"/>
      </w:pPr>
      <w:bookmarkStart w:id="4" w:name="section_1"/>
      <w:r>
        <w:t>Конкуренты</w:t>
      </w:r>
      <w:bookmarkEnd w:id="4"/>
    </w:p>
    <w:p>
      <w:r>
        <w:t>[Впишите] Список из 3-5 прямых конкурентов, их сильные и слабые стороны, чем вы отличаетесь.</w:t>
      </w:r>
    </w:p>
    <w:p>
      <w:pPr>
        <w:pStyle w:val="Heading3"/>
        <ck:id v="section-2"/>
      </w:pPr>
      <w:bookmarkStart w:id="5" w:name="section_2"/>
      <w:r>
        <w:t>Целевая аудитория</w:t>
      </w:r>
      <w:bookmarkEnd w:id="5"/>
    </w:p>
    <w:p>
      <w:r>
        <w:t>[Впишите] Портрет основного клиента: кто он, что для него важно при выборе, где его найти.</w:t>
      </w:r>
    </w:p>
    <w:p>
      <w:pPr>
        <w:pStyle w:val="Heading2"/>
        <ck:id v="marketing"/>
      </w:pPr>
      <w:bookmarkStart w:id="6" w:name="marketing"/>
      <w:r>
        <w:t>Маркетинговый план</w:t>
      </w:r>
      <w:bookmarkEnd w:id="6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Продажа урожая по прямым договорам с оптовыми базами Ташкента и 1-2 сетями супермаркетов; часть продукции — через фермерский кооператив для консолидации партий под экспорт; цена — на уровне региональных закупочных с наценкой за сортировку и калибровку плодов.</w:t>
                </w:r>
              </w:p>
            </w:tc>
          </w:tr>
        </w:tbl>
      </w:sdtContent>
    </w:sdt>
    <w:p>
      <w:r>
        <w:t>[Впишите] Ценообразование, каналы продвижения и продаж, план привлечения первых клиентов.</w:t>
      </w:r>
    </w:p>
    <w:p>
      <w:pPr>
        <w:pStyle w:val="Heading2"/>
        <ck:id v="operations"/>
      </w:pPr>
      <w:bookmarkStart w:id="7" w:name="operations"/>
      <w:r>
        <w:t>Операционный план</w:t>
      </w:r>
      <w:bookmarkEnd w:id="7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Цикл: подготовка почвы и посадка → капельное орошение и уход → сбор урожая → сортировка и хранение в холодильной камере → отгрузка. Ключевые поставщики — питомник саженцев, поставщик систем капельного орошения. Требуется регистрация фермерского хозяйства и оформление земельного участка.</w:t>
                </w:r>
              </w:p>
            </w:tc>
          </w:tr>
        </w:tbl>
      </w:sdtContent>
    </w:sdt>
    <w:p>
      <w:r>
        <w:t>[Впишите] Процесс производства/оказания услуги, ключевые поставщики, оборудование, необходимые лицензии и разрешения.</w:t>
      </w:r>
    </w:p>
    <w:p>
      <w:pPr>
        <w:pStyle w:val="Heading2"/>
        <ck:id v="org"/>
      </w:pPr>
      <w:bookmarkStart w:id="8" w:name="org"/>
      <w:r>
        <w:t>Организационный план</w:t>
      </w:r>
      <w:bookmarkEnd w:id="8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Глава фермерского хозяйства, агроном на полставки, 2 постоянных работника, до 10 сезонных на сбор урожая. Форма — фермерское хозяйство (дехканское или фермерское, в зависимости от площади и культуры).</w:t>
                </w:r>
              </w:p>
            </w:tc>
          </w:tr>
        </w:tbl>
      </w:sdtContent>
    </w:sdt>
    <w:p>
      <w:r>
        <w:t>[Впишите] Команда и роли, штатное расписание, организационно-правовая форма.</w:t>
      </w:r>
    </w:p>
    <w:p>
      <w:pPr>
        <w:pStyle w:val="Heading2"/>
        <ck:id v="risks"/>
      </w:pPr>
      <w:bookmarkStart w:id="9" w:name="risks"/>
      <w:r>
        <w:t>Риски и меры по их снижению</w:t>
      </w:r>
      <w:bookmarkEnd w:id="9"/>
    </w:p>
    <w:tbl>
      <w:tblPr>
        <w:tblStyle w:val="CkTable"/>
        <w:tblW w:w="0" w:type="auto"/>
        <w:tblLayout w:type="autofit"/>
        <w:tblLook w:firstRow="1" w:lastRow="0" w:firstColumn="0" w:lastColumn="0" w:noHBand="0" w:noVBand="1"/>
      </w:tblPr>
      <w:tblGrid>
        <w:gridCol/>
        <w:gridCol/>
      </w:tblGrid>
      <w:tr>
        <w:trPr>
          <w:tblHeader/>
        </w:trPr>
        <w:tc>
          <w:tcPr/>
          <w:p>
            <w:r>
              <w:rPr>
                <w:b/>
              </w:rPr>
              <w:t>Риск</w:t>
            </w:r>
          </w:p>
        </w:tc>
        <w:tc>
          <w:tcPr/>
          <w:p>
            <w:r>
              <w:rPr>
                <w:b/>
              </w:rPr>
              <w:t>Меры снижения</w:t>
            </w:r>
          </w:p>
        </w:tc>
      </w:tr>
      <w:tr>
        <w:tc>
          <w:tcPr/>
          <w:p>
            <w:r>
              <w:t>Погодные и климатические риски (засуха, заморозки, град)</w:t>
            </w:r>
          </w:p>
        </w:tc>
        <w:tc>
          <w:tcPr/>
          <w:p>
            <w:r>
              <w:t>Страхование урожая, эффективная капельная ирригация, снижающая зависимость от осадков</w:t>
            </w:r>
          </w:p>
        </w:tc>
      </w:tr>
      <w:tr>
        <w:tc>
          <w:tcPr/>
          <w:p>
            <w:r>
              <w:t>Волатильность закупочных цен в сезон массового сбора урожая</w:t>
            </w:r>
          </w:p>
        </w:tc>
        <w:tc>
          <w:tcPr/>
          <w:p>
            <w:r>
              <w:t>Долгосрочные контракты с переработчиками/сетями, собственное или кооперативное хранение для продажи в межсезонье</w:t>
            </w:r>
          </w:p>
        </w:tc>
      </w:tr>
      <w:tr>
        <w:tc>
          <w:tcPr/>
          <w:p>
            <w:r>
              <w:t>Вредители, болезни растений и животных</w:t>
            </w:r>
          </w:p>
        </w:tc>
        <w:tc>
          <w:tcPr/>
          <w:p>
            <w:r>
              <w:t>Агро-/ветконсультации, севооборот, профилактические обработки по графику</w:t>
            </w:r>
          </w:p>
        </w:tc>
      </w:tr>
      <w:tr>
        <w:tc>
          <w:tcPr/>
          <w:p>
            <w:r>
              <w:t>Дефицит и рост стоимости поливной воды в пиковый сезон</w:t>
            </w:r>
          </w:p>
        </w:tc>
        <w:tc>
          <w:tcPr/>
          <w:p>
            <w:r>
              <w:t>Капельное орошение, водосберегающие технологии, чёткий график полива</w:t>
            </w:r>
          </w:p>
        </w:tc>
      </w:tr>
      <w:tr>
        <w:tc>
          <w:tcPr/>
          <w:p>
            <w:r>
              <w:t>Потери урожая из-за отсутствия холодильного хранения и логистики</w:t>
            </w:r>
          </w:p>
        </w:tc>
        <w:tc>
          <w:tcPr/>
          <w:p>
            <w:r>
              <w:t>Инвестиции в мини-хранилище или партнёрство с логистическим оператором для холодной цепи</w:t>
            </w:r>
          </w:p>
        </w:tc>
      </w:tr>
      <w:tr>
        <w:tc>
          <w:tcPr/>
          <w:p>
            <w:r>
              <w:t>Изменение условий льготного кредитования и субсидий</w:t>
            </w:r>
          </w:p>
        </w:tc>
        <w:tc>
          <w:tcPr/>
          <w:p>
            <w:r>
              <w:t>Диверсификация источников финансирования, не полагаться только на господдержку в расчёте окупаемости</w:t>
            </w:r>
          </w:p>
        </w:tc>
      </w:tr>
    </w:tbl>
    <w:p>
      <w:r>
        <w:t>[Впишите] Дополните таблицу своими рисками, специфичными для вашего проекта и региона.</w:t>
      </w:r>
    </w:p>
    <w:sectPr>
      <ck:section v="1:||margins=1.1in,size=letter"/>
      <w:footerReference w:type="default" r:id="rIdHf1"/>
      <w:pgSz w:w="12240" w:h="15840"/>
      <w:pgMar w:top="1584" w:right="1584" w:bottom="1584" w:left="1584" w:header="720" w:footer="720" w:gutter="0"/>
    </w:sectPr>
  </w:body>
</w:document>
</file>

<file path=word/fontTable.xml><?xml version="1.0" encoding="utf-8"?>
<w:fonts xmlns:w="http://schemas.openxmlformats.org/wordprocessingml/2006/main">
  <w:font w:name="Cambria">
    <w:family w:val="roman"/>
  </w:font>
  <w:font w:name="Consolas">
    <w:family w:val="modern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m="http://schemas.openxmlformats.org/officeDocument/2006/math" xmlns:mc="http://schemas.openxmlformats.org/markup-compatibility/2006" xmlns:ck="urn:clarkdown:docx" mc:Ignorable="ck">
  <w:sdt>
    <w:sdtPr>
      <w:tag w:val="clarkdown:div"/>
      <ck:div v="||text-align=center"/>
    </w:sdtPr>
    <w:sdtContent>
      <w:p>
        <w:pPr>
          <w:jc w:val="center"/>
        </w:pPr>
        <w:r>
          <w:t xml:space="preserve">MoliyaHub · </w:t>
        </w:r>
        <w:fldSimple w:instr="PAGE">
          <w:r>
            <w:t>1</w:t>
          </w:r>
        </w:fldSimple>
      </w:p>
    </w:sdtContent>
  </w:sdt>
</w:ftr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1."/>
      <w:lvlJc w:val="left"/>
      <w:pPr>
        <w:ind w:left="2880" w:hanging="360"/>
      </w:pPr>
    </w:lvl>
    <w:lvl w:ilvl="4">
      <w:start w:val="1"/>
      <w:numFmt w:val="decimal"/>
      <w:lvlText w:val="%2."/>
      <w:lvlJc w:val="left"/>
      <w:pPr>
        <w:ind w:left="3600" w:hanging="360"/>
      </w:pPr>
    </w:lvl>
    <w:lvl w:ilvl="5">
      <w:start w:val="1"/>
      <w:numFmt w:val="decimal"/>
      <w:lvlText w:val="%3."/>
      <w:lvlJc w:val="left"/>
      <w:pPr>
        <w:ind w:left="4320" w:hanging="360"/>
      </w:pPr>
    </w:lvl>
    <w:lvl w:ilvl="6">
      <w:start w:val="1"/>
      <w:numFmt w:val="decimal"/>
      <w:lvlText w:val="%1."/>
      <w:lvlJc w:val="left"/>
      <w:pPr>
        <w:ind w:left="5040" w:hanging="360"/>
      </w:pPr>
    </w:lvl>
    <w:lvl w:ilvl="7">
      <w:start w:val="1"/>
      <w:numFmt w:val="decimal"/>
      <w:lvlText w:val="%2."/>
      <w:lvlJc w:val="left"/>
      <w:pPr>
        <w:ind w:left="5760" w:hanging="360"/>
      </w:pPr>
    </w:lvl>
    <w:lvl w:ilvl="8">
      <w:start w:val="1"/>
      <w:numFmt w:val="decimal"/>
      <w:lvlText w:val="%3."/>
      <w:lvlJc w:val="left"/>
      <w:pPr>
        <w:ind w:left="6480" w:hanging="360"/>
      </w:pPr>
    </w:lvl>
  </w:abstractNum>
  <w:abstractNum w:abstractNumId="3">
    <w:multiLevelType w:val="hybridMultilevel"/>
    <w:lvl w:ilvl="0">
      <w:start w:val="1"/>
      <w:numFmt w:val="bullet"/>
      <w:lvlText w:val="☐"/>
      <w:lvlJc w:val="left"/>
      <w:pPr>
        <w:ind w:left="720" w:hanging="360"/>
      </w:pPr>
    </w:lvl>
    <w:lvl w:ilvl="1">
      <w:start w:val="1"/>
      <w:numFmt w:val="bullet"/>
      <w:lvlText w:val="☐"/>
      <w:lvlJc w:val="left"/>
      <w:pPr>
        <w:ind w:left="1440" w:hanging="360"/>
      </w:pPr>
    </w:lvl>
    <w:lvl w:ilvl="2">
      <w:start w:val="1"/>
      <w:numFmt w:val="bullet"/>
      <w:lvlText w:val="☐"/>
      <w:lvlJc w:val="left"/>
      <w:pPr>
        <w:ind w:left="2160" w:hanging="360"/>
      </w:pPr>
    </w:lvl>
    <w:lvl w:ilvl="3">
      <w:start w:val="1"/>
      <w:numFmt w:val="bullet"/>
      <w:lvlText w:val="☐"/>
      <w:lvlJc w:val="left"/>
      <w:pPr>
        <w:ind w:left="2880" w:hanging="360"/>
      </w:pPr>
    </w:lvl>
    <w:lvl w:ilvl="4">
      <w:start w:val="1"/>
      <w:numFmt w:val="bullet"/>
      <w:lvlText w:val="☐"/>
      <w:lvlJc w:val="left"/>
      <w:pPr>
        <w:ind w:left="3600" w:hanging="360"/>
      </w:pPr>
    </w:lvl>
    <w:lvl w:ilvl="5">
      <w:start w:val="1"/>
      <w:numFmt w:val="bullet"/>
      <w:lvlText w:val="☐"/>
      <w:lvlJc w:val="left"/>
      <w:pPr>
        <w:ind w:left="4320" w:hanging="360"/>
      </w:pPr>
    </w:lvl>
    <w:lvl w:ilvl="6">
      <w:start w:val="1"/>
      <w:numFmt w:val="bullet"/>
      <w:lvlText w:val="☐"/>
      <w:lvlJc w:val="left"/>
      <w:pPr>
        <w:ind w:left="5040" w:hanging="360"/>
      </w:pPr>
    </w:lvl>
    <w:lvl w:ilvl="7">
      <w:start w:val="1"/>
      <w:numFmt w:val="bullet"/>
      <w:lvlText w:val="☐"/>
      <w:lvlJc w:val="left"/>
      <w:pPr>
        <w:ind w:left="5760" w:hanging="360"/>
      </w:pPr>
    </w:lvl>
    <w:lvl w:ilvl="8">
      <w:start w:val="1"/>
      <w:numFmt w:val="bullet"/>
      <w:lvlText w:val="☐"/>
      <w:lvlJc w:val="left"/>
      <w:pPr>
        <w:ind w:left="6480" w:hanging="360"/>
      </w:pPr>
    </w:lvl>
  </w:abstractNum>
  <w:abstractNum w:abstractNumId="4">
    <w:multiLevelType w:val="hybridMultilevel"/>
    <w:lvl w:ilvl="0">
      <w:start w:val="1"/>
      <w:numFmt w:val="bullet"/>
      <w:lvlText w:val="☑"/>
      <w:lvlJc w:val="left"/>
      <w:pPr>
        <w:ind w:left="720" w:hanging="360"/>
      </w:pPr>
    </w:lvl>
    <w:lvl w:ilvl="1">
      <w:start w:val="1"/>
      <w:numFmt w:val="bullet"/>
      <w:lvlText w:val="☑"/>
      <w:lvlJc w:val="left"/>
      <w:pPr>
        <w:ind w:left="1440" w:hanging="360"/>
      </w:pPr>
    </w:lvl>
    <w:lvl w:ilvl="2">
      <w:start w:val="1"/>
      <w:numFmt w:val="bullet"/>
      <w:lvlText w:val="☑"/>
      <w:lvlJc w:val="left"/>
      <w:pPr>
        <w:ind w:left="2160" w:hanging="360"/>
      </w:pPr>
    </w:lvl>
    <w:lvl w:ilvl="3">
      <w:start w:val="1"/>
      <w:numFmt w:val="bullet"/>
      <w:lvlText w:val="☑"/>
      <w:lvlJc w:val="left"/>
      <w:pPr>
        <w:ind w:left="2880" w:hanging="360"/>
      </w:pPr>
    </w:lvl>
    <w:lvl w:ilvl="4">
      <w:start w:val="1"/>
      <w:numFmt w:val="bullet"/>
      <w:lvlText w:val="☑"/>
      <w:lvlJc w:val="left"/>
      <w:pPr>
        <w:ind w:left="3600" w:hanging="360"/>
      </w:pPr>
    </w:lvl>
    <w:lvl w:ilvl="5">
      <w:start w:val="1"/>
      <w:numFmt w:val="bullet"/>
      <w:lvlText w:val="☑"/>
      <w:lvlJc w:val="left"/>
      <w:pPr>
        <w:ind w:left="4320" w:hanging="360"/>
      </w:pPr>
    </w:lvl>
    <w:lvl w:ilvl="6">
      <w:start w:val="1"/>
      <w:numFmt w:val="bullet"/>
      <w:lvlText w:val="☑"/>
      <w:lvlJc w:val="left"/>
      <w:pPr>
        <w:ind w:left="5040" w:hanging="360"/>
      </w:pPr>
    </w:lvl>
    <w:lvl w:ilvl="7">
      <w:start w:val="1"/>
      <w:numFmt w:val="bullet"/>
      <w:lvlText w:val="☑"/>
      <w:lvlJc w:val="left"/>
      <w:pPr>
        <w:ind w:left="5760" w:hanging="360"/>
      </w:pPr>
    </w:lvl>
    <w:lvl w:ilvl="8">
      <w:start w:val="1"/>
      <w:numFmt w:val="bullet"/>
      <w:lvlText w:val="☑"/>
      <w:lvlJc w:val="left"/>
      <w:pPr>
        <w:ind w:left="6480" w:hanging="36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cs="Cambria"/>
        <w:sz w:val="22"/>
        <w:szCs w:val="22"/>
        <w:lang w:val="en-US"/>
      </w:rPr>
    </w:rPrDefault>
    <w:pPrDefault>
      <w:pPr>
        <w:spacing w:after="160" w:line="312" w:lineRule="auto"/>
      </w:pPr>
    </w:pPrDefault>
  </w:docDefaults>
  <w:style w:type="paragraph" w:styleId="Normal" w:default="1">
    <w:name w:val="Normal"/>
  </w:style>
  <w:style w:type="paragraph" w:styleId="Heading1" w:default="0">
    <w:name w:val="heading 1"/>
    <w:basedOn w:val="Normal"/>
    <w:next w:val="Normal"/>
    <w:pPr>
      <w:keepNext/>
      <w:keepLines/>
      <w:spacing w:before="320" w:line="264" w:lineRule="auto"/>
      <w:outlineLvl w:val="0"/>
    </w:pPr>
    <w:rPr>
      <w:rFonts w:ascii="Cambria" w:hAnsi="Cambria"/>
      <w:b/>
      <w:color w:val="1A1A1A"/>
      <w:sz w:val="38"/>
      <w:szCs w:val="38"/>
    </w:rPr>
  </w:style>
  <w:style w:type="paragraph" w:styleId="Heading2" w:default="0">
    <w:name w:val="heading 2"/>
    <w:basedOn w:val="Normal"/>
    <w:next w:val="Normal"/>
    <w:pPr>
      <w:keepNext/>
      <w:keepLines/>
      <w:spacing w:before="320" w:line="264" w:lineRule="auto"/>
      <w:outlineLvl w:val="1"/>
    </w:pPr>
    <w:rPr>
      <w:rFonts w:ascii="Cambria" w:hAnsi="Cambria"/>
      <w:b/>
      <w:sz w:val="32"/>
      <w:szCs w:val="32"/>
    </w:rPr>
  </w:style>
  <w:style w:type="paragraph" w:styleId="Heading3" w:default="0">
    <w:name w:val="heading 3"/>
    <w:basedOn w:val="Normal"/>
    <w:next w:val="Normal"/>
    <w:pPr>
      <w:keepNext/>
      <w:keepLines/>
      <w:spacing w:before="160" w:line="264" w:lineRule="auto"/>
      <w:outlineLvl w:val="2"/>
    </w:pPr>
    <w:rPr>
      <w:rFonts w:ascii="Cambria" w:hAnsi="Cambria"/>
      <w:b/>
      <w:sz w:val="26"/>
      <w:szCs w:val="26"/>
    </w:rPr>
  </w:style>
  <w:style w:type="paragraph" w:styleId="Heading4" w:default="0">
    <w:name w:val="heading 4"/>
    <w:basedOn w:val="Normal"/>
    <w:next w:val="Normal"/>
    <w:pPr>
      <w:keepNext/>
      <w:keepLines/>
      <w:spacing w:before="160" w:line="264" w:lineRule="auto"/>
      <w:outlineLvl w:val="3"/>
    </w:pPr>
    <w:rPr>
      <w:rFonts w:ascii="Cambria" w:hAnsi="Cambria"/>
      <w:b/>
      <w:sz w:val="22"/>
      <w:szCs w:val="22"/>
    </w:rPr>
  </w:style>
  <w:style w:type="paragraph" w:styleId="Heading5" w:default="0">
    <w:name w:val="heading 5"/>
    <w:basedOn w:val="Normal"/>
    <w:next w:val="Normal"/>
    <w:pPr>
      <w:keepNext/>
      <w:keepLines/>
      <w:spacing w:before="160" w:line="264" w:lineRule="auto"/>
      <w:outlineLvl w:val="4"/>
    </w:pPr>
    <w:rPr>
      <w:rFonts w:ascii="Cambria" w:hAnsi="Cambria"/>
      <w:b/>
      <w:sz w:val="22"/>
      <w:szCs w:val="22"/>
    </w:rPr>
  </w:style>
  <w:style w:type="paragraph" w:styleId="Heading6" w:default="0">
    <w:name w:val="heading 6"/>
    <w:basedOn w:val="Normal"/>
    <w:next w:val="Normal"/>
    <w:pPr>
      <w:keepNext/>
      <w:keepLines/>
      <w:spacing w:before="160" w:line="264" w:lineRule="auto"/>
      <w:outlineLvl w:val="5"/>
    </w:pPr>
    <w:rPr>
      <w:rFonts w:ascii="Cambria" w:hAnsi="Cambria"/>
      <w:b/>
      <w:sz w:val="22"/>
      <w:szCs w:val="22"/>
    </w:rPr>
  </w:style>
  <w:style w:type="paragraph" w:styleId="Quote" w:default="0">
    <w:name w:val="Quote"/>
    <w:basedOn w:val="Normal"/>
    <w:pPr>
      <w:ind w:left="320"/>
      <w:pBdr>
        <w:left w:val="single" w:sz="24" w:space="12" w:color="BFBFBF"/>
      </w:pBdr>
    </w:pPr>
    <w:rPr>
      <w:i/>
      <w:color w:val="595959"/>
    </w:rPr>
  </w:style>
  <w:style w:type="character" w:styleId="CkHighlight">
    <w:name w:val="Clarkdown Highlight"/>
    <w:rPr>
      <w:shd w:val="clear" w:fill="FFF2A8"/>
    </w:rPr>
  </w:style>
  <w:style w:type="character" w:styleId="CkSmallcaps">
    <w:name w:val="Clarkdown Smallcaps"/>
    <w:rPr>
      <w:smallCaps/>
    </w:rPr>
  </w:style>
  <w:style w:type="character" w:styleId="CkUnderline">
    <w:name w:val="Clarkdown Underline"/>
    <w:rPr>
      <w:u w:val="single"/>
    </w:rPr>
  </w:style>
  <w:style w:type="character" w:styleId="CkMuted">
    <w:name w:val="Clarkdown Muted"/>
    <w:rPr>
      <w:color w:val="595959"/>
    </w:rPr>
  </w:style>
  <w:style w:type="character" w:styleId="CkAccent">
    <w:name w:val="Clarkdown Accent"/>
    <w:rPr>
      <w:color w:val="1A1A1A"/>
    </w:rPr>
  </w:style>
  <w:style w:type="character" w:styleId="CkCaption">
    <w:name w:val="Clarkdown Caption"/>
    <w:rPr>
      <w:i/>
      <w:color w:val="595959"/>
      <w:sz w:val="20"/>
      <w:szCs w:val="20"/>
    </w:rPr>
  </w:style>
  <w:style w:type="paragraph" w:styleId="CkDisplay" w:default="0">
    <w:name w:val="Clarkdown Display"/>
    <w:basedOn w:val="Normal"/>
    <w:next w:val="Normal"/>
    <w:pPr>
      <w:keepNext/>
      <w:keepLines/>
      <w:spacing w:after="240" w:line="264" w:lineRule="auto"/>
    </w:pPr>
    <w:rPr>
      <w:rFonts w:ascii="Cambria" w:hAnsi="Cambria"/>
      <w:b/>
      <w:color w:val="1A1A1A"/>
      <w:sz w:val="132"/>
      <w:szCs w:val="132"/>
    </w:rPr>
  </w:style>
  <w:style w:type="character" w:styleId="CkKicker">
    <w:name w:val="Clarkdown Kicker"/>
    <w:rPr>
      <w:smallCaps/>
      <w:spacing w:val="18"/>
      <w:color w:val="595959"/>
    </w:rPr>
  </w:style>
  <w:style w:type="paragraph" w:styleId="CkTrackedCaps" w:default="0">
    <w:name w:val="Clarkdown Tracked Caps"/>
    <w:basedOn w:val="Normal"/>
    <w:next w:val="Normal"/>
    <w:rPr>
      <w:smallCaps/>
      <w:spacing w:val="18"/>
    </w:rPr>
  </w:style>
  <w:style w:type="paragraph" w:styleId="Title" w:default="0">
    <w:name w:val="Title"/>
    <w:basedOn w:val="Normal"/>
    <w:next w:val="Normal"/>
    <w:pPr>
      <w:keepNext/>
      <w:keepLines/>
      <w:spacing w:after="240" w:line="264" w:lineRule="auto"/>
    </w:pPr>
    <w:rPr>
      <w:rFonts w:ascii="Cambria" w:hAnsi="Cambria"/>
      <w:b/>
      <w:sz w:val="46"/>
      <w:szCs w:val="46"/>
    </w:rPr>
  </w:style>
  <w:style w:type="character" w:styleId="Hyperlink">
    <w:name w:val="Hyperlink"/>
    <w:rPr>
      <w:color w:val="1A1A1A"/>
      <w:u w:val="single"/>
    </w:rPr>
  </w:style>
  <w:style w:type="paragraph" w:styleId="CkCodeBlock" w:default="0">
    <w:name w:val="Clarkdown Code Block"/>
    <w:basedOn w:val="Normal"/>
    <w:pPr>
      <w:shd w:val="clear" w:fill="EDEDED"/>
      <w:spacing w:after="0" w:line="240" w:lineRule="auto"/>
    </w:pPr>
    <w:rPr>
      <w:rFonts w:ascii="Consolas" w:hAnsi="Consolas"/>
      <w:noProof/>
      <w:sz w:val="20"/>
    </w:rPr>
  </w:style>
  <w:style w:type="character" w:styleId="CkCode">
    <w:name w:val="Clarkdown Code"/>
    <w:rPr>
      <w:rFonts w:ascii="Consolas" w:hAnsi="Consolas"/>
      <w:shd w:val="clear" w:fill="EDEDED"/>
      <w:sz w:val="20"/>
    </w:rPr>
  </w:style>
  <w:style w:type="paragraph" w:styleId="Caption" w:default="0">
    <w:name w:val="caption"/>
    <w:basedOn w:val="Normal"/>
    <w:rPr>
      <w:i/>
      <w:sz w:val="18"/>
    </w:rPr>
  </w:style>
  <w:style w:type="paragraph" w:styleId="ListParagraph" w:default="0">
    <w:name w:val="List Paragraph"/>
    <w:basedOn w:val="Normal"/>
    <w:pPr>
      <w:ind w:left="320"/>
    </w:pPr>
  </w:style>
  <w:style w:type="paragraph" w:styleId="CkUnknown" w:default="0">
    <w:name w:val="Clarkdown Unknown"/>
    <w:basedOn w:val="Normal"/>
    <w:pPr>
      <w:shd w:val="clear" w:fill="FFEEEE"/>
    </w:pPr>
  </w:style>
  <w:style w:type="paragraph" w:styleId="FootnoteText" w:default="0">
    <w:name w:val="footnote text"/>
    <w:basedOn w:val="Normal"/>
    <w:rPr>
      <w:sz w:val="18"/>
    </w:rPr>
  </w:style>
  <w:style w:type="character" w:styleId="FootnoteReference">
    <w:name w:val="footnote reference"/>
    <w:rPr>
      <w:vertAlign w:val="superscript"/>
    </w:rPr>
  </w:style>
  <w:style w:type="table" w:styleId="CkTable">
    <w:name w:val="Clarkdown Table"/>
    <w:tblPr>
      <w:tblBorders>
        <w:top w:val="single" w:sz="4" w:color="BFBFBF"/>
        <w:left w:val="single" w:sz="4" w:color="BFBFBF"/>
        <w:bottom w:val="single" w:sz="4" w:color="BFBFBF"/>
        <w:right w:val="single" w:sz="4" w:color="BFBFBF"/>
        <w:insideH w:val="single" w:sz="4" w:color="BFBFBF"/>
        <w:insideV w:val="single" w:sz="4" w:color="BFBFBF"/>
      </w:tblBorders>
      <w:tblCellMar>
        <w:top w:w="80" w:type="dxa"/>
        <w:left w:w="80" w:type="dxa"/>
        <w:bottom w:w="80" w:type="dxa"/>
        <w:right w:w="80" w:type="dxa"/>
      </w:tblCellMar>
    </w:tblPr>
  </w:style>
  <w:style w:type="table" w:styleId="CkLayout">
    <w:name w:val="Clarkdown Layout"/>
    <w:tblPr>
      <w:tblBorders>
        <w:top w:val="none"/>
        <w:left w:val="none"/>
        <w:bottom w:val="none"/>
        <w:right w:val="none"/>
        <w:insideH w:val="none"/>
        <w:insideV w:val="none"/>
      </w:tblBorders>
    </w:tblPr>
  </w:style>
  <w:style w:type="paragraph" w:styleId="CkNote" w:default="0">
    <w:name w:val="Clarkdown Note"/>
    <w:basedOn w:val="Normal"/>
    <w:pPr>
      <w:pBdr>
        <w:left w:val="single" w:sz="24" w:space="8" w:color="2F6FEB"/>
      </w:pBdr>
      <w:ind w:left="240"/>
    </w:pPr>
  </w:style>
  <w:style w:type="paragraph" w:styleId="CkTip" w:default="0">
    <w:name w:val="Clarkdown Tip"/>
    <w:basedOn w:val="Normal"/>
    <w:pPr>
      <w:pBdr>
        <w:left w:val="single" w:sz="24" w:space="8" w:color="1A7F37"/>
      </w:pBdr>
      <w:ind w:left="240"/>
    </w:pPr>
  </w:style>
  <w:style w:type="paragraph" w:styleId="CkWarning" w:default="0">
    <w:name w:val="Clarkdown Warning"/>
    <w:basedOn w:val="Normal"/>
    <w:pPr>
      <w:pBdr>
        <w:left w:val="single" w:sz="24" w:space="8" w:color="9A6700"/>
      </w:pBdr>
      <w:ind w:left="240"/>
    </w:pPr>
  </w:style>
  <w:style w:type="paragraph" w:styleId="CkImportant" w:default="0">
    <w:name w:val="Clarkdown Important"/>
    <w:basedOn w:val="Normal"/>
    <w:pPr>
      <w:pBdr>
        <w:left w:val="single" w:sz="24" w:space="8" w:color="8250DF"/>
      </w:pBdr>
      <w:ind w:left="240"/>
    </w:pPr>
  </w:style>
  <w:style w:type="paragraph" w:styleId="CkCaution" w:default="0">
    <w:name w:val="Clarkdown Caution"/>
    <w:basedOn w:val="Normal"/>
    <w:pPr>
      <w:pBdr>
        <w:left w:val="single" w:sz="24" w:space="8" w:color="CF222E"/>
      </w:pBdr>
      <w:ind w:left="240"/>
    </w:p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Fonts" Type="http://schemas.openxmlformats.org/officeDocument/2006/relationships/fontTable" Target="fontTable.xml"/><Relationship Id="rIdSettings" Type="http://schemas.openxmlformats.org/officeDocument/2006/relationships/settings" Target="settings.xml"/><Relationship Id="rIdHf1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rkdownFrontMatter">
    <vt:lpwstr>{"kv":{"theme":"serif"},"v":1}</vt:lpwstr>
  </property>
</Properties>
</file>