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СТРОИТЕЛЬСТВО</w:t>
      </w:r>
      <w:bookmarkEnd w:id="0"/>
    </w:p>
    <w:p>
      <w:r>
        <w:rPr>
          <w:rStyle w:val="CkMuted"/>
        </w:rPr>
        <w:t>Пример: строительно-ремонтная компания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«Строительство».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— иллюстрация формата ответа, а не факты о реальной компании. Финансовый план с рабочими формулами (SUM, прибыль, срок окупаемости, рентабельность)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ООО «UsSaz Qurilish» специализируется на комплексном ремонте квартир и коммерческих помещений в Ташкенте «под ключ» — от дизайн-проекта до сдачи объекта. Требуемые инвестиции — 400 млн сум на инструмент, спецтехнику и оборотный капитал на первые 3 объекта; окупаемость — около 14 месяцев при загрузке 2-3 объекта одновременно.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Строительство</w:t>
      </w:r>
      <w:bookmarkEnd w:id="3"/>
    </w:p>
    <w:p>
      <w:pPr>
        <w:pStyle w:val="ListParagraph"/>
        <w:numPr>
          <w:ilvl w:val="0"/>
          <w:numId w:val="1"/>
        </w:numPr>
      </w:pPr>
      <w:r>
        <w:t>Строительство — один из ключевых драйверов роста экономики Узбекистана на фоне активных жилищных и инфраструктурных программ.</w:t>
      </w:r>
    </w:p>
    <w:p>
      <w:pPr>
        <w:pStyle w:val="ListParagraph"/>
        <w:numPr>
          <w:ilvl w:val="0"/>
          <w:numId w:val="1"/>
        </w:numPr>
      </w:pPr>
      <w:r>
        <w:t>Указом от 20 ноября 2025 года утверждена национальная программа развития жилищного строительства и ипотеки до 2040 года: ежегодный ввод жилья планируется удвоить до 421 тыс. объектов, ипотечный портфель — вырастить более чем в 10 раз (до $56,7 млрд), а долю современного жилья в жилом фонде — довести до 50% (gazeta.uz). Это создаёт долгосрочный спрос на строительные и ремонтные услуги, но конкретные региональные квоты и условия стоит уточнять по мере запуска программы.</w:t>
      </w:r>
    </w:p>
    <w:p>
      <w:pPr>
        <w:pStyle w:val="ListParagraph"/>
        <w:numPr>
          <w:ilvl w:val="0"/>
          <w:numId w:val="1"/>
        </w:numPr>
      </w:pPr>
      <w:r>
        <w:t>Параллельно продолжаются программы реновации городской среды и инфраструктурные проекты (дороги, объекты соцкультбыта) — поддерживают спрос на подрядные и субподрядные работы для среднего и малого бизнеса.</w:t>
      </w:r>
    </w:p>
    <w:p>
      <w:pPr>
        <w:pStyle w:val="ListParagraph"/>
        <w:numPr>
          <w:ilvl w:val="0"/>
          <w:numId w:val="1"/>
        </w:numPr>
      </w:pPr>
      <w:r>
        <w:t>Растёт спрос на энергоэффективные и сейсмостойкие решения — новая жилищная программа прямо предусматривает экологичные материалы и энергоэффективные технологии; соответствие актуальным строительным нормам (KMK) и этим требованиям важно для конкурентоспособности при госзаказах и в ипотечных проектах.</w:t>
      </w:r>
    </w:p>
    <w:p>
      <w:pPr>
        <w:pStyle w:val="ListParagraph"/>
        <w:numPr>
          <w:ilvl w:val="0"/>
          <w:numId w:val="1"/>
        </w:numPr>
      </w:pPr>
      <w:r>
        <w:t>Для сравнения: в Казахстане и России также действуют масштабные программы льготной ипотеки — конкуренция за импортное оборудование, отделочные материалы и подрядчиков с международным опытом в регионе в целом растёт, что может повышать закупочные цены на отдельные материалы и технику.</w:t>
      </w:r>
    </w:p>
    <w:p>
      <w:pPr>
        <w:pStyle w:val="ListParagraph"/>
        <w:numPr>
          <w:ilvl w:val="0"/>
          <w:numId w:val="1"/>
        </w:numPr>
      </w:pPr>
      <w:r>
        <w:t>[Впишите] Объём рынка и конкурентов в вашем сегменте (жилое/коммерческое/промышленное/инфраструктурное строительство) и регионе — уточняйте по данным местного хокимията и тендерным площадкам.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по смете с фиксацией на этапе договора, чтобы избежать споров при росте цен на материалы; продвижение — портфолио отремонтированных объектов в соцсетях и на агрегаторах ремонта, сарафанное радио через застройщиков и риелторов, первые 2-3 объекта — по льготной цене за отзывы и портфолио.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замер и смета → согласование дизайн-проекта → закупка материалов → черновые и чистовые работы бригадой → сдача объекта заказчику. Ключевые поставщики материалов — 2-3 оптовые базы стройматериалов с отсрочкой платежа. Требуется лицензирование строительной деятельности.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Директор-прораб, 2 бригады по 4-5 человек (штукатуры-маляры, электрики, сантехники), сметчик на аутсорсе, менеджер по работе с клиентами. Форма — ООО с упрощённым налоговым режимом на старте.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risks"/>
      </w:pPr>
      <w:bookmarkStart w:id="9" w:name="risks"/>
      <w:r>
        <w:t>Риски и меры по их снижению</w:t>
      </w:r>
      <w:bookmarkEnd w:id="9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Рост цен на стройматериалы в ходе исполнения долгосрочных договоров</w:t>
            </w:r>
          </w:p>
        </w:tc>
        <w:tc>
          <w:tcPr/>
          <w:p>
            <w:r>
              <w:t>Фиксация цен/предоплата у ключевых поставщиков, пункт о пересмотре сметы при росте цен свыше порога</w:t>
            </w:r>
          </w:p>
        </w:tc>
      </w:tr>
      <w:tr>
        <w:tc>
          <w:tcPr/>
          <w:p>
            <w:r>
              <w:t>Задержки оплат заказчиками</w:t>
            </w:r>
          </w:p>
        </w:tc>
        <w:tc>
          <w:tcPr/>
          <w:p>
            <w:r>
              <w:t>Поэтапная оплата по договору, авансирование, штрафные санкции за просрочку в договоре</w:t>
            </w:r>
          </w:p>
        </w:tc>
      </w:tr>
      <w:tr>
        <w:tc>
          <w:tcPr/>
          <w:p>
            <w:r>
              <w:t>Сезонность спроса (замедление в холодные месяцы)</w:t>
            </w:r>
          </w:p>
        </w:tc>
        <w:tc>
          <w:tcPr/>
          <w:p>
            <w:r>
              <w:t>Диверсификация видов работ (внутренняя отделка зимой, наружные и кровельные — в тёплый сезон)</w:t>
            </w:r>
          </w:p>
        </w:tc>
      </w:tr>
      <w:tr>
        <w:tc>
          <w:tcPr/>
          <w:p>
            <w:r>
              <w:t>Дефицит квалифицированных рабочих (каменщики, сварщики, отделочники)</w:t>
            </w:r>
          </w:p>
        </w:tc>
        <w:tc>
          <w:tcPr/>
          <w:p>
            <w:r>
              <w:t>Долгосрочные отношения с проверенными бригадами, обучение подмастерьев</w:t>
            </w:r>
          </w:p>
        </w:tc>
      </w:tr>
      <w:tr>
        <w:tc>
          <w:tcPr/>
          <w:p>
            <w:r>
              <w:t>Изменение строительных норм (KMK) и требований по энергоэффективности</w:t>
            </w:r>
          </w:p>
        </w:tc>
        <w:tc>
          <w:tcPr/>
          <w:p>
            <w:r>
              <w:t>Регулярный мониторинг нормативной базы, повышение квалификации ИТР</w:t>
            </w:r>
          </w:p>
        </w:tc>
      </w:tr>
      <w:tr>
        <w:tc>
          <w:tcPr/>
          <w:p>
            <w:r>
              <w:t>Срыв сроков субподрядчиками</w:t>
            </w:r>
          </w:p>
        </w:tc>
        <w:tc>
          <w:tcPr/>
          <w:p>
            <w:r>
              <w:t>Резервные подрядчики на критичные виды работ, штрафные условия в договорах субподряда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