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ТВОРЧЕСКИЕ ИНДУСТРИИ</w:t>
      </w:r>
      <w:bookmarkEnd w:id="0"/>
    </w:p>
    <w:p>
      <w:r>
        <w:rPr>
          <w:rStyle w:val="CkMuted"/>
        </w:rPr>
        <w:t>Пример: мастерская народных промыслов или дизайн-студия с экспортным фокусом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«Творческие индустрии».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— иллюстрация формата ответа, а не факты о реальной компании. Финансовый план с рабочими формулами (SUM, прибыль, срок окупаемости, рентабельность)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Мастерская «Rishton Sirlari» производит и продаёт риштанскую керамику ручной работы туристам в шоуруме и на Etsy для зарубежных покупателей. Требуемые инвестиции — 220 млн сум на обустройство мастерской, печь для обжига и первую партию материалов; окупаемость — около 20 месяцев при комбинированных офлайн- и онлайн-продажах.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Творческие индустрии</w:t>
      </w:r>
      <w:bookmarkEnd w:id="3"/>
    </w:p>
    <w:p>
      <w:pPr>
        <w:pStyle w:val="ListParagraph"/>
        <w:numPr>
          <w:ilvl w:val="0"/>
          <w:numId w:val="1"/>
        </w:numPr>
      </w:pPr>
      <w:r>
        <w:t>Узбекистан — признанный центр традиционных ремёсел Шёлкового пути (керамика Риштана и Гиждувана, вышивка сюзане, шёлкоткачество, чеканка, миниатюра) с растущим интересом туристов и международных покупателей на фоне общего бума въездного туризма в стране.</w:t>
      </w:r>
    </w:p>
    <w:p>
      <w:pPr>
        <w:pStyle w:val="ListParagraph"/>
        <w:numPr>
          <w:ilvl w:val="0"/>
          <w:numId w:val="1"/>
        </w:numPr>
      </w:pPr>
      <w:r>
        <w:t>Государство развивает креативную экономику как отдельное направление: действуют программы поддержки ремесленничества и участия в международных выставках/ярмарках, обсуждаются меры по защите и продвижению статуса мастера-ремесленника.</w:t>
      </w:r>
    </w:p>
    <w:p>
      <w:pPr>
        <w:pStyle w:val="ListParagraph"/>
        <w:numPr>
          <w:ilvl w:val="0"/>
          <w:numId w:val="1"/>
        </w:numPr>
      </w:pPr>
      <w:r>
        <w:t>Растёт интерес к изделиям ручной работы на международных маркетплейсах (Etsy и аналогичные площадки) — узбекское сюзане и керамика уже продаются иностранным покупателям через такие каналы, но успех сильно зависит от качества карточки товара, фото и логистики, а не только от аутентичности изделия.</w:t>
      </w:r>
    </w:p>
    <w:p>
      <w:pPr>
        <w:pStyle w:val="ListParagraph"/>
        <w:numPr>
          <w:ilvl w:val="0"/>
          <w:numId w:val="1"/>
        </w:numPr>
      </w:pPr>
      <w:r>
        <w:t>Туристический поток (см. отрасль «Туризм») создаёт растущий офлайн-канал сбыта — сувенирные и подарочные изделия, мастер-классы для туристов в Самарканде, Бухаре и Хиве.</w:t>
      </w:r>
    </w:p>
    <w:p>
      <w:pPr>
        <w:pStyle w:val="ListParagraph"/>
        <w:numPr>
          <w:ilvl w:val="0"/>
          <w:numId w:val="1"/>
        </w:numPr>
      </w:pPr>
      <w:r>
        <w:t>Кино- и медиаиндустрия Узбекистана развивается на фоне интереса к съёмкам на локациях страны и поддержки национального кинопроизводства — но это капиталоёмкий и высококонкурентный сегмент, требующий отдельной профессиональной экспертизы.</w:t>
      </w:r>
    </w:p>
    <w:p>
      <w:pPr>
        <w:pStyle w:val="ListParagraph"/>
        <w:numPr>
          <w:ilvl w:val="0"/>
          <w:numId w:val="1"/>
        </w:numPr>
      </w:pPr>
      <w:r>
        <w:t>Для сравнения: соседние страны с богатым ремесленным наследием (Турция, Иран) давно выстроили экспортные бренды вокруг ковров, керамики и текстиля с узнаваемой международной репутацией — узбекским мастерам и брендам ещё предстоит выстроить сопоставимое международное узнавание, что делает маркетинг и storytelling особенно важными.</w:t>
      </w:r>
    </w:p>
    <w:p>
      <w:pPr>
        <w:pStyle w:val="ListParagraph"/>
        <w:numPr>
          <w:ilvl w:val="0"/>
          <w:numId w:val="1"/>
        </w:numPr>
      </w:pPr>
      <w:r>
        <w:t>[Впишите] Конкретную нишу (ремесло/дизайн/медиа), целевую аудиторию и каналы сбыта — уточняйте по опыту действующих мастеров и профильных ассоциаций ремесленников.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премиальный сегмент за счёт ручной работы и уникальности каждого изделия; продвижение — витрина-шоурум на туристическом маршруте с мастер-классами для гостей, карточки товаров на Etsy с профессиональными фото и историей мастера, сотрудничество с гидами и турагентствами за комиссию.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формовка изделия → сушка → роспись → обжиг в печи → упаковка → продажа в шоуруме или отправка по заказу с Etsy. Ключевые поставщики — местная глина и природные пигменты. Международная отправка требует надёжного партнёра по логистике и корректного оформления для таможни.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Мастер-владелец, 2 подмастерья, менеджер по онлайн-продажам и упаковке на part-time. Форма — ИП или статус ремесленника, если применим в регионе, с переходом в ООО при росте оборота.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risks"/>
      </w:pPr>
      <w:bookmarkStart w:id="9" w:name="risks"/>
      <w:r>
        <w:t>Риски и меры по их снижению</w:t>
      </w:r>
      <w:bookmarkEnd w:id="9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Сезонность туристического спроса на офлайн-продажи</w:t>
            </w:r>
          </w:p>
        </w:tc>
        <w:tc>
          <w:tcPr/>
          <w:p>
            <w:r>
              <w:t>Развитие онлайн-канала (Etsy и соцсети) для стабильности продаж вне сезона</w:t>
            </w:r>
          </w:p>
        </w:tc>
      </w:tr>
      <w:tr>
        <w:tc>
          <w:tcPr/>
          <w:p>
            <w:r>
              <w:t>Копирование изделий и отсутствие защиты бренда</w:t>
            </w:r>
          </w:p>
        </w:tc>
        <w:tc>
          <w:tcPr/>
          <w:p>
            <w:r>
              <w:t>Регистрация товарного знака, авторские элементы дизайна, узнаваемая упаковка/подача</w:t>
            </w:r>
          </w:p>
        </w:tc>
      </w:tr>
      <w:tr>
        <w:tc>
          <w:tcPr/>
          <w:p>
            <w:r>
              <w:t>Логистика и таможенное оформление при международных отправках</w:t>
            </w:r>
          </w:p>
        </w:tc>
        <w:tc>
          <w:tcPr/>
          <w:p>
            <w:r>
              <w:t>Работа с надёжными международными службами доставки, заблаговременное изучение таможенных правил стран-покупателей</w:t>
            </w:r>
          </w:p>
        </w:tc>
      </w:tr>
      <w:tr>
        <w:tc>
          <w:tcPr/>
          <w:p>
            <w:r>
              <w:t>Низкая конверсия онлайн-витрины без профессиональной подачи</w:t>
            </w:r>
          </w:p>
        </w:tc>
        <w:tc>
          <w:tcPr/>
          <w:p>
            <w:r>
              <w:t>Инвестиции в качественную фотосъёмку и тексты карточек товара, привлечение SMM-специалиста</w:t>
            </w:r>
          </w:p>
        </w:tc>
      </w:tr>
      <w:tr>
        <w:tc>
          <w:tcPr/>
          <w:p>
            <w:r>
              <w:t>Зависимость от одного мастера/носителя навыка</w:t>
            </w:r>
          </w:p>
        </w:tc>
        <w:tc>
          <w:tcPr/>
          <w:p>
            <w:r>
              <w:t>Обучение подмастерьев, документирование техник, постепенная передача части производства</w:t>
            </w:r>
          </w:p>
        </w:tc>
      </w:tr>
      <w:tr>
        <w:tc>
          <w:tcPr/>
          <w:p>
            <w:r>
              <w:t>Колебания курса при продаже за рубеж (доход в валюте, расходы в сумах)</w:t>
            </w:r>
          </w:p>
        </w:tc>
        <w:tc>
          <w:tcPr/>
          <w:p>
            <w:r>
              <w:t>Часть выручки резервировать в валюте, учитывать курсовую разницу при ценообразовании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