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Relationship Id="rIdCustom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Title"/>
        <ck:id v="edtech"/>
      </w:pPr>
      <w:bookmarkStart w:id="0" w:name="edtech"/>
      <w:r>
        <w:t>БИЗНЕС-ПЛАН: ОБРАЗОВАНИЕ И EDTECH</w:t>
      </w:r>
      <w:bookmarkEnd w:id="0"/>
    </w:p>
    <w:p>
      <w:r>
        <w:rPr>
          <w:rStyle w:val="CkMuted"/>
        </w:rPr>
        <w:t>Пример: образовательный центр или онлайн-школа</w:t>
      </w:r>
    </w:p>
    <w:p>
      <w:r>
        <w:t>Название проекта: [впишите]</w:t>
      </w:r>
      <w:r>
        <w:br/>
      </w:r>
      <w:r>
        <w:t>Автор / компания: [впишите]</w:t>
      </w:r>
      <w:r>
        <w:br/>
      </w:r>
      <w:r>
        <w:t>Регион реализации: [впишите]</w:t>
      </w:r>
      <w:r>
        <w:br/>
      </w:r>
      <w:r>
        <w:t>Требуемая сумма инвестиций, сум: [впишите]</w:t>
      </w:r>
      <w:r>
        <w:br/>
      </w:r>
      <w:r>
        <w:t>Дата: [впишите]</w:t>
      </w:r>
    </w:p>
    <w:p>
      <w:r>
        <w:rPr>
          <w:rStyle w:val="CkCaption"/>
          <w:i/>
        </w:rPr>
        <w:t>Это готовый образец (шаблон) бизнес-плана MoliyaHub для отрасли «Образование и EdTech». Замените текст в квадратных скобках [впишите] и примеры на данные вашего проекта, добавьте или удалите пункты по необходимости. Абзацы в рамке, отмеченные «ПРИМЕР», — иллюстрация формата ответа, а не факты о реальной компании. Финансовый план с рабочими формулами (SUM, прибыль, срок окупаемости, рентабельность) — в отдельном Excel-файле с тем же названием, который дополняет этот документ.</w:t>
      </w:r>
    </w:p>
    <w:p>
      <w:pPr>
        <w:pStyle w:val="Heading2"/>
        <ck:id v="resume"/>
      </w:pPr>
      <w:bookmarkStart w:id="1" w:name="resume"/>
      <w:r>
        <w:t>Резюме проекта</w:t>
      </w:r>
      <w:bookmarkEnd w:id="1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Онлайн-школа «SmartAvlod» готовит школьников 9-11 классов к международным экзаменам по математике и английскому языку в формате коротких видеокурсов и живых групповых занятий. Требуемые инвестиции — 350 млн сум на разработку платформы и первых курсов; окупаемость — около 12 месяцев при наборе 300 учеников на платные тарифы.</w:t>
                </w:r>
              </w:p>
            </w:tc>
          </w:tr>
        </w:tbl>
      </w:sdtContent>
    </w:sdt>
    <w:p>
      <w:r>
        <w:t>[Впишите] В 5-8 предложениях: суть проекта, какую проблему решает, для кого, требуемая сумма инвестиций и на что она пойдёт, ожидаемый результат (выручка/прибыль/срок окупаемости).</w:t>
      </w:r>
    </w:p>
    <w:p>
      <w:pPr>
        <w:pStyle w:val="Heading2"/>
        <ck:id v="company"/>
      </w:pPr>
      <w:bookmarkStart w:id="2" w:name="company"/>
      <w:r>
        <w:t>Описание компании / проекта</w:t>
      </w:r>
      <w:bookmarkEnd w:id="2"/>
    </w:p>
    <w:p>
      <w:r>
        <w:t>[Впишите] Организационно-правовая форма (ИП/ООО/фермерское хозяйство), команда, текущий статус проекта (идея / MVP / действующий бизнес), уникальное торговое предложение.</w:t>
      </w:r>
    </w:p>
    <w:p>
      <w:pPr>
        <w:pStyle w:val="Heading2"/>
        <ck:id v="market"/>
      </w:pPr>
      <w:bookmarkStart w:id="3" w:name="market"/>
      <w:r>
        <w:t>Анализ рынка: Образование и EdTech</w:t>
      </w:r>
      <w:bookmarkEnd w:id="3"/>
    </w:p>
    <w:p>
      <w:pPr>
        <w:pStyle w:val="ListParagraph"/>
        <w:numPr>
          <w:ilvl w:val="0"/>
          <w:numId w:val="1"/>
        </w:numPr>
      </w:pPr>
      <w:r>
        <w:t>Растёт спрос на дополнительное образование и повышение квалификации в Узбекистане — особенно IT, языки, подготовка к экзаменам и поступлению за рубеж.</w:t>
      </w:r>
    </w:p>
    <w:p>
      <w:pPr>
        <w:pStyle w:val="ListParagraph"/>
        <w:numPr>
          <w:ilvl w:val="0"/>
          <w:numId w:val="1"/>
        </w:numPr>
      </w:pPr>
      <w:r>
        <w:t>Рынок EdTech растёт быстрыми темпами: по данным отраслевого обзора, топ-35 edtech-компаний Узбекистана заработали в 2024 году 118 млрд сум (рост на 94% год к году), а весь рынок онлайн-образования оценивался не менее чем в 126 млрд сум; сегмент детского онлайн-образования вырос на рекордные +1095% год к году (edtechs.ru) — рынок ещё далёк от насыщения, но и привлекает много новых игроков, включая компании из России и Казахстана.</w:t>
      </w:r>
    </w:p>
    <w:p>
      <w:pPr>
        <w:pStyle w:val="ListParagraph"/>
        <w:numPr>
          <w:ilvl w:val="0"/>
          <w:numId w:val="1"/>
        </w:numPr>
      </w:pPr>
      <w:r>
        <w:t>Государство поддерживает цифровизацию образования и развитие частных образовательных инициатив, включая упрощение лицензирования частных школ и курсов.</w:t>
      </w:r>
    </w:p>
    <w:p>
      <w:pPr>
        <w:pStyle w:val="ListParagraph"/>
        <w:numPr>
          <w:ilvl w:val="0"/>
          <w:numId w:val="1"/>
        </w:numPr>
      </w:pPr>
      <w:r>
        <w:t>Конкуренция со стороны международных онлайн-платформ (Coursera, Skillbox, Яндекс.Практикум и др.) требует чёткой локализации контента (на узбекском и русском языках) и практической пользы под местный рынок труда, а не просто перевода зарубежных программ.</w:t>
      </w:r>
    </w:p>
    <w:p>
      <w:pPr>
        <w:pStyle w:val="ListParagraph"/>
        <w:numPr>
          <w:ilvl w:val="0"/>
          <w:numId w:val="1"/>
        </w:numPr>
      </w:pPr>
      <w:r>
        <w:t>Для сравнения: рынки России и Казахстана в EdTech более зрелые и консолидированные вокруг нескольких крупных платформ — узбекские предприниматели чаще выигрывают через локальную специализацию (подготовка к местным экзаменам, дефицитные языки/навыки), а не через прямую конкуренцию с крупными международными брендами по охвату.</w:t>
      </w:r>
    </w:p>
    <w:p>
      <w:pPr>
        <w:pStyle w:val="ListParagraph"/>
        <w:numPr>
          <w:ilvl w:val="0"/>
          <w:numId w:val="1"/>
        </w:numPr>
      </w:pPr>
      <w:r>
        <w:t>[Впишите] Целевую аудиторию и её платёжеспособность, конкурентов в выбранном направлении — уточняйте прямым опросом целевой аудитории и анализом конкурентных курсов/центров.</w:t>
      </w:r>
    </w:p>
    <w:p>
      <w:pPr>
        <w:pStyle w:val="Heading3"/>
        <ck:id v="section"/>
      </w:pPr>
      <w:bookmarkStart w:id="4" w:name="section"/>
      <w:r>
        <w:t>Конкуренты</w:t>
      </w:r>
      <w:bookmarkEnd w:id="4"/>
    </w:p>
    <w:p>
      <w:r>
        <w:t>[Впишите] Список из 3-5 прямых конкурентов, их сильные и слабые стороны, чем вы отличаетесь.</w:t>
      </w:r>
    </w:p>
    <w:p>
      <w:pPr>
        <w:pStyle w:val="Heading3"/>
        <ck:id v="section-1"/>
      </w:pPr>
      <w:bookmarkStart w:id="5" w:name="section_1"/>
      <w:r>
        <w:t>Целевая аудитория</w:t>
      </w:r>
      <w:bookmarkEnd w:id="5"/>
    </w:p>
    <w:p>
      <w:r>
        <w:t>[Впишите] Портрет основного клиента: кто он, что для него важно при выборе, где его найти.</w:t>
      </w:r>
    </w:p>
    <w:p>
      <w:pPr>
        <w:pStyle w:val="Heading2"/>
        <ck:id v="marketing"/>
      </w:pPr>
      <w:bookmarkStart w:id="6" w:name="marketing"/>
      <w:r>
        <w:t>Маркетинговый план</w:t>
      </w:r>
      <w:bookmarkEnd w:id="6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Цена — абонентская плата за месяц доступа с более дешёвым пакетом при оплате за семестр; продвижение — бесплатные пробные уроки и полезный контент в Telegram/Instagram, реферальная программа для действующих учеников, партнёрство с 2-3 школами на пилотные группы.</w:t>
                </w:r>
              </w:p>
            </w:tc>
          </w:tr>
        </w:tbl>
      </w:sdtContent>
    </w:sdt>
    <w:p>
      <w:r>
        <w:t>[Впишите] Ценообразование, каналы продвижения и продаж, план привлечения первых клиентов.</w:t>
      </w:r>
    </w:p>
    <w:p>
      <w:pPr>
        <w:pStyle w:val="Heading2"/>
        <ck:id v="operations"/>
      </w:pPr>
      <w:bookmarkStart w:id="7" w:name="operations"/>
      <w:r>
        <w:t>Операционный план</w:t>
      </w:r>
      <w:bookmarkEnd w:id="7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Цикл: запись на пробный урок → зачисление в группу → занятия по расписанию (запись + живые сессии) → промежуточное тестирование → аттестация в конце курса. Ключевая инфраструктура — платформа для видеоуроков, система учёта учеников и оплат. Требуется регистрация образовательной деятельности.</w:t>
                </w:r>
              </w:p>
            </w:tc>
          </w:tr>
        </w:tbl>
      </w:sdtContent>
    </w:sdt>
    <w:p>
      <w:r>
        <w:t>[Впишите] Процесс производства/оказания услуги, ключевые поставщики, оборудование, необходимые лицензии и разрешения.</w:t>
      </w:r>
    </w:p>
    <w:p>
      <w:pPr>
        <w:pStyle w:val="Heading2"/>
        <ck:id v="org"/>
      </w:pPr>
      <w:bookmarkStart w:id="8" w:name="org"/>
      <w:r>
        <w:t>Организационный план</w:t>
      </w:r>
      <w:bookmarkEnd w:id="8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Директор-методист, 3 преподавателя на part-time, менеджер по работе с учениками и родителями, разработчик платформы на аутсорсе. Форма — ООО с лицензией на образовательную деятельность.</w:t>
                </w:r>
              </w:p>
            </w:tc>
          </w:tr>
        </w:tbl>
      </w:sdtContent>
    </w:sdt>
    <w:p>
      <w:r>
        <w:t>[Впишите] Команда и роли, штатное расписание, организационно-правовая форма.</w:t>
      </w:r>
    </w:p>
    <w:p>
      <w:pPr>
        <w:pStyle w:val="Heading2"/>
        <ck:id v="risks"/>
      </w:pPr>
      <w:bookmarkStart w:id="9" w:name="risks"/>
      <w:r>
        <w:t>Риски и меры по их снижению</w:t>
      </w:r>
      <w:bookmarkEnd w:id="9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Риск</w:t>
            </w:r>
          </w:p>
        </w:tc>
        <w:tc>
          <w:tcPr/>
          <w:p>
            <w:r>
              <w:rPr>
                <w:b/>
              </w:rPr>
              <w:t>Меры снижения</w:t>
            </w:r>
          </w:p>
        </w:tc>
      </w:tr>
      <w:tr>
        <w:tc>
          <w:tcPr/>
          <w:p>
            <w:r>
              <w:t>Конкуренция с бесплатным/международным контентом (YouTube, зарубежные платформы)</w:t>
            </w:r>
          </w:p>
        </w:tc>
        <w:tc>
          <w:tcPr/>
          <w:p>
            <w:r>
              <w:t>Фокус на локализацию, практическую пользу под местные экзамены/рынок труда, живое сопровождение учеников</w:t>
            </w:r>
          </w:p>
        </w:tc>
      </w:tr>
      <w:tr>
        <w:tc>
          <w:tcPr/>
          <w:p>
            <w:r>
              <w:t>Отток преподавателей к конкурентам или на индивидуальное репетиторство</w:t>
            </w:r>
          </w:p>
        </w:tc>
        <w:tc>
          <w:tcPr/>
          <w:p>
            <w:r>
              <w:t>Система мотивации, доля от повторных продлений, профессиональное развитие</w:t>
            </w:r>
          </w:p>
        </w:tc>
      </w:tr>
      <w:tr>
        <w:tc>
          <w:tcPr/>
          <w:p>
            <w:r>
              <w:t>Изменение спроса по направлениям обучения</w:t>
            </w:r>
          </w:p>
        </w:tc>
        <w:tc>
          <w:tcPr/>
          <w:p>
            <w:r>
              <w:t>Регулярное обновление программы, пилотирование новых направлений на небольших группах</w:t>
            </w:r>
          </w:p>
        </w:tc>
      </w:tr>
      <w:tr>
        <w:tc>
          <w:tcPr/>
          <w:p>
            <w:r>
              <w:t>Низкое завершение курсов учениками (отток на середине программы)</w:t>
            </w:r>
          </w:p>
        </w:tc>
        <w:tc>
          <w:tcPr/>
          <w:p>
            <w:r>
              <w:t>Геймификация, регулярная обратная связь и поддержка, промежуточные результаты для мотивации</w:t>
            </w:r>
          </w:p>
        </w:tc>
      </w:tr>
      <w:tr>
        <w:tc>
          <w:tcPr/>
          <w:p>
            <w:r>
              <w:t>Сезонность спроса (спад летом, пик перед экзаменами/учебным годом)</w:t>
            </w:r>
          </w:p>
        </w:tc>
        <w:tc>
          <w:tcPr/>
          <w:p>
            <w:r>
              <w:t>Специальные летние интенсивы и лагеря, гибкие тарифы под сезон</w:t>
            </w:r>
          </w:p>
        </w:tc>
      </w:tr>
      <w:tr>
        <w:tc>
          <w:tcPr/>
          <w:p>
            <w:r>
              <w:t>Регуляторные требования к образовательной деятельности и защите данных детей</w:t>
            </w:r>
          </w:p>
        </w:tc>
        <w:tc>
          <w:tcPr/>
          <w:p>
            <w:r>
              <w:t>Своевременное лицензирование, политика защиты персональных данных учеников</w:t>
            </w:r>
          </w:p>
        </w:tc>
      </w:tr>
    </w:tbl>
    <w:p>
      <w:r>
        <w:t>[Впишите] Дополните таблицу своими рисками, специфичными для вашего проекта и региона.</w:t>
      </w:r>
    </w:p>
    <w:sectPr>
      <ck:section v="1:||margins=1.1in,size=letter"/>
      <w:footerReference w:type="default" r:id="rIdHf1"/>
      <w:pgSz w:w="12240" w:h="15840"/>
      <w:pgMar w:top="1584" w:right="1584" w:bottom="1584" w:left="1584" w:header="720" w:footer="720" w:gutter="0"/>
    </w:sectPr>
  </w:body>
</w:document>
</file>

<file path=word/fontTable.xml><?xml version="1.0" encoding="utf-8"?>
<w:fonts xmlns:w="http://schemas.openxmlformats.org/wordprocessingml/2006/main">
  <w:font w:name="Cambria">
    <w:family w:val="roman"/>
  </w:font>
  <w:font w:name="Consolas">
    <w:family w:val="modern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sdt>
    <w:sdtPr>
      <w:tag w:val="clarkdown:div"/>
      <ck:div v="||text-align=center"/>
    </w:sdtPr>
    <w:sdtContent>
      <w:p>
        <w:pPr>
          <w:jc w:val="center"/>
        </w:pPr>
        <w:r>
          <w:t xml:space="preserve">MoliyaHub · </w:t>
        </w:r>
        <w:fldSimple w:instr="PAGE">
          <w:r>
            <w:t>1</w:t>
          </w:r>
        </w:fldSimple>
      </w:p>
    </w:sdtContent>
  </w:sdt>
</w:ft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cs="Cambria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mbria" w:hAnsi="Cambria"/>
      <w:b/>
      <w:color w:val="1A1A1A"/>
      <w:sz w:val="38"/>
      <w:szCs w:val="38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mbria" w:hAnsi="Cambria"/>
      <w:b/>
      <w:sz w:val="32"/>
      <w:szCs w:val="32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mbria" w:hAnsi="Cambria"/>
      <w:b/>
      <w:sz w:val="26"/>
      <w:szCs w:val="26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mbria" w:hAnsi="Cambria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mbria" w:hAnsi="Cambria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mbria" w:hAnsi="Cambria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mbria" w:hAnsi="Cambria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mbria" w:hAnsi="Cambria"/>
      <w:b/>
      <w:sz w:val="46"/>
      <w:szCs w:val="46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Relationship Id="rIdHf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rkdownFrontMatter">
    <vt:lpwstr>{"kv":{"theme":"serif"},"v":1}</vt:lpwstr>
  </property>
</Properties>
</file>