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body>
    <w:p>
      <w:pPr>
        <w:pStyle w:val="Title"/>
        <ck:id v="section"/>
      </w:pPr>
      <w:bookmarkStart w:id="0" w:name="section"/>
      <w:r>
        <w:t>БИЗНЕС-ПЛАН: ФИНАНСОВЫЙ СЕКТОР И СТРАХОВАНИЕ</w:t>
      </w:r>
      <w:bookmarkEnd w:id="0"/>
    </w:p>
    <w:p>
      <w:r>
        <w:rPr>
          <w:rStyle w:val="CkMuted"/>
        </w:rPr>
        <w:t>Пример: финтех-сервис или микрофинансовая организация</w:t>
      </w:r>
    </w:p>
    <w:p>
      <w:r>
        <w:t>Название проекта: [впишите]</w:t>
      </w:r>
      <w:r>
        <w:br/>
      </w:r>
      <w:r>
        <w:t>Автор / компания: [впишите]</w:t>
      </w:r>
      <w:r>
        <w:br/>
      </w:r>
      <w:r>
        <w:t>Регион реализации: [впишите]</w:t>
      </w:r>
      <w:r>
        <w:br/>
      </w:r>
      <w:r>
        <w:t>Требуемая сумма инвестиций, сум: [впишите]</w:t>
      </w:r>
      <w:r>
        <w:br/>
      </w:r>
      <w:r>
        <w:t>Дата: [впишите]</w:t>
      </w:r>
    </w:p>
    <w:p>
      <w:r>
        <w:rPr>
          <w:rStyle w:val="CkCaption"/>
          <w:i/>
        </w:rPr>
        <w:t>Это готовый образец (шаблон) бизнес-плана MoliyaHub для отрасли «Финансовый сектор и страхование». Замените текст в квадратных скобках [впишите] и примеры на данные вашего проекта, добавьте или удалите пункты по необходимости. Абзацы в рамке, отмеченные «ПРИМЕР», — иллюстрация формата ответа, а не факты о реальной компании. Финансовый план с рабочими формулами (SUM, прибыль, срок окупаемости, рентабельность) — в отдельном Excel-файле с тем же названием, который дополняет этот документ.</w:t>
      </w:r>
    </w:p>
    <w:p>
      <w:pPr>
        <w:pStyle w:val="Heading2"/>
        <ck:id v="resume"/>
      </w:pPr>
      <w:bookmarkStart w:id="1" w:name="resume"/>
      <w:r>
        <w:t>Резюме проекта</w:t>
      </w:r>
      <w:bookmarkEnd w:id="1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МФО «QulayQarz» выдаёт микрозаймы предпринимателям на пополнение оборотных средств через мобильное приложение со скоринг-моделью на основе транзакционных данных. Требуемый капитал — 1,2 млрд сум (включая фонд выдачи первых займов); окупаемость — около 20 месяцев при среднем размере займа и плановом уровне невозврата.</w:t>
                </w:r>
              </w:p>
            </w:tc>
          </w:tr>
        </w:tbl>
      </w:sdtContent>
    </w:sdt>
    <w:p>
      <w:r>
        <w:t>[Впишите] В 5-8 предложениях: суть проекта, какую проблему решает, для кого, требуемая сумма инвестиций и на что она пойдёт, ожидаемый результат (выручка/прибыль/срок окупаемости).</w:t>
      </w:r>
    </w:p>
    <w:p>
      <w:pPr>
        <w:pStyle w:val="Heading2"/>
        <ck:id v="company"/>
      </w:pPr>
      <w:bookmarkStart w:id="2" w:name="company"/>
      <w:r>
        <w:t>Описание компании / проекта</w:t>
      </w:r>
      <w:bookmarkEnd w:id="2"/>
    </w:p>
    <w:p>
      <w:r>
        <w:t>[Впишите] Организационно-правовая форма (ИП/ООО/фермерское хозяйство), команда, текущий статус проекта (идея / MVP / действующий бизнес), уникальное торговое предложение.</w:t>
      </w:r>
    </w:p>
    <w:p>
      <w:pPr>
        <w:pStyle w:val="Heading2"/>
        <ck:id v="market"/>
      </w:pPr>
      <w:bookmarkStart w:id="3" w:name="market"/>
      <w:r>
        <w:t>Анализ рынка: Финансовый сектор и страхование</w:t>
      </w:r>
      <w:bookmarkEnd w:id="3"/>
    </w:p>
    <w:p>
      <w:pPr>
        <w:pStyle w:val="ListParagraph"/>
        <w:numPr>
          <w:ilvl w:val="0"/>
          <w:numId w:val="1"/>
        </w:numPr>
      </w:pPr>
      <w:r>
        <w:t>В Узбекистане активно развивается финтех-экосистема на фоне роста цифровых платежей — Центральный банк регулирует и поддерживает цифровизацию платёжной инфраструктуры, включая развитие национальных платёжных систем (Uzcard, Humo) и подключение к ним новых сервисов (uzdaily.uz).</w:t>
      </w:r>
    </w:p>
    <w:p>
      <w:pPr>
        <w:pStyle w:val="ListParagraph"/>
        <w:numPr>
          <w:ilvl w:val="0"/>
          <w:numId w:val="1"/>
        </w:numPr>
      </w:pPr>
      <w:r>
        <w:t>По оценке Азиатского банка развития, перед Узбекистаном стоит задача не только нарастить объём цифровых платежей, но и превратить цифровые финансы в реальные накопления населения и доступ к капиталу для МСБ — то есть развитие идёт не только в сторону платежей, но и сберегательных/кредитных продуктов (uzdaily.uz).</w:t>
      </w:r>
    </w:p>
    <w:p>
      <w:pPr>
        <w:pStyle w:val="ListParagraph"/>
        <w:numPr>
          <w:ilvl w:val="0"/>
          <w:numId w:val="1"/>
        </w:numPr>
      </w:pPr>
      <w:r>
        <w:t>Растёт проникновение мобильного банкинга и безналичных платежей среди населения и бизнеса в крупных городах — но в регионах доступ к цифровым финансовым услугам и финансовая грамотность остаются ниже, что создаёт как барьер, так и нишу для локализованных продуктов.</w:t>
      </w:r>
    </w:p>
    <w:p>
      <w:pPr>
        <w:pStyle w:val="ListParagraph"/>
        <w:numPr>
          <w:ilvl w:val="0"/>
          <w:numId w:val="1"/>
        </w:numPr>
      </w:pPr>
      <w:r>
        <w:t>Растущий спрос МСБ на микрофинансирование и лизинг, особенно в регионах с ограниченным доступом к банковским услугам — при этом деятельность МФО и платёжных сервисов подлежит лицензированию и надзору ЦБ РУз.</w:t>
      </w:r>
    </w:p>
    <w:p>
      <w:pPr>
        <w:pStyle w:val="ListParagraph"/>
        <w:numPr>
          <w:ilvl w:val="0"/>
          <w:numId w:val="1"/>
        </w:numPr>
      </w:pPr>
      <w:r>
        <w:t>Для сравнения: Казахстан и Россия имеют более зрелые финтех-рынки с крупными игроками (Kaspi.kz, Тинькофф) — узбекский рынок ещё формируется, что даёт возможность занять нишу быстрее, но также означает менее отработанную нормативную базу и более высокую регуляторную неопределённость.</w:t>
      </w:r>
    </w:p>
    <w:p>
      <w:pPr>
        <w:pStyle w:val="ListParagraph"/>
        <w:numPr>
          <w:ilvl w:val="0"/>
          <w:numId w:val="1"/>
        </w:numPr>
      </w:pPr>
      <w:r>
        <w:t>[Впишите] Конкретную нишу (платежи/кредитование/лизинг/страхование), требования лицензирования ЦБ РУз для неё и данные по объёму сегмента — уточняйте на сайте cbu.uz.</w:t>
      </w:r>
    </w:p>
    <w:p>
      <w:pPr>
        <w:pStyle w:val="Heading3"/>
        <ck:id v="section-1"/>
      </w:pPr>
      <w:bookmarkStart w:id="4" w:name="section_1"/>
      <w:r>
        <w:t>Конкуренты</w:t>
      </w:r>
      <w:bookmarkEnd w:id="4"/>
    </w:p>
    <w:p>
      <w:r>
        <w:t>[Впишите] Список из 3-5 прямых конкурентов, их сильные и слабые стороны, чем вы отличаетесь.</w:t>
      </w:r>
    </w:p>
    <w:p>
      <w:pPr>
        <w:pStyle w:val="Heading3"/>
        <ck:id v="section-2"/>
      </w:pPr>
      <w:bookmarkStart w:id="5" w:name="section_2"/>
      <w:r>
        <w:t>Целевая аудитория</w:t>
      </w:r>
      <w:bookmarkEnd w:id="5"/>
    </w:p>
    <w:p>
      <w:r>
        <w:t>[Впишите] Портрет основного клиента: кто он, что для него важно при выборе, где его найти.</w:t>
      </w:r>
    </w:p>
    <w:p>
      <w:pPr>
        <w:pStyle w:val="Heading2"/>
        <ck:id v="marketing"/>
      </w:pPr>
      <w:bookmarkStart w:id="6" w:name="marketing"/>
      <w:r>
        <w:t>Маркетинговый план</w:t>
      </w:r>
      <w:bookmarkEnd w:id="6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Продвижение — партнёрство с 2-3 маркетплейсами и поставщиками для встроенного кредитования (embedded finance) их продавцов, таргетированная реклама в соцсетях для предпринимателей, реферальная программа для существующих клиентов.</w:t>
                </w:r>
              </w:p>
            </w:tc>
          </w:tr>
        </w:tbl>
      </w:sdtContent>
    </w:sdt>
    <w:p>
      <w:r>
        <w:t>[Впишите] Ценообразование, каналы продвижения и продаж, план привлечения первых клиентов.</w:t>
      </w:r>
    </w:p>
    <w:p>
      <w:pPr>
        <w:pStyle w:val="Heading2"/>
        <ck:id v="operations"/>
      </w:pPr>
      <w:bookmarkStart w:id="7" w:name="operations"/>
      <w:r>
        <w:t>Операционный план</w:t>
      </w:r>
      <w:bookmarkEnd w:id="7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Цикл: заявка через приложение → скоринг и проверка → одобрение → выдача займа на карту → автоматическое списание платежей по графику → работа с просрочкой. Требуется лицензия ЦБ РУз на деятельность МФО и внедрение AML/KYC-процедур.</w:t>
                </w:r>
              </w:p>
            </w:tc>
          </w:tr>
        </w:tbl>
      </w:sdtContent>
    </w:sdt>
    <w:p>
      <w:r>
        <w:t>[Впишите] Процесс производства/оказания услуги, ключевые поставщики, оборудование, необходимые лицензии и разрешения.</w:t>
      </w:r>
    </w:p>
    <w:p>
      <w:pPr>
        <w:pStyle w:val="Heading2"/>
        <ck:id v="org"/>
      </w:pPr>
      <w:bookmarkStart w:id="8" w:name="org"/>
      <w:r>
        <w:t>Организационный план</w:t>
      </w:r>
      <w:bookmarkEnd w:id="8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Директор, риск-менеджер/скоринг-аналитик, комплаенс-офицер, 2 менеджера по работе с клиентами, разработчик приложения на аутсорсе. Форма — ООО с лицензией МФО от ЦБ РУз.</w:t>
                </w:r>
              </w:p>
            </w:tc>
          </w:tr>
        </w:tbl>
      </w:sdtContent>
    </w:sdt>
    <w:p>
      <w:r>
        <w:t>[Впишите] Команда и роли, штатное расписание, организационно-правовая форма.</w:t>
      </w:r>
    </w:p>
    <w:p>
      <w:pPr>
        <w:pStyle w:val="Heading2"/>
        <ck:id v="risks"/>
      </w:pPr>
      <w:bookmarkStart w:id="9" w:name="risks"/>
      <w:r>
        <w:t>Риски и меры по их снижению</w:t>
      </w:r>
      <w:bookmarkEnd w:id="9"/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Риск</w:t>
            </w:r>
          </w:p>
        </w:tc>
        <w:tc>
          <w:tcPr/>
          <w:p>
            <w:r>
              <w:rPr>
                <w:b/>
              </w:rPr>
              <w:t>Меры снижения</w:t>
            </w:r>
          </w:p>
        </w:tc>
      </w:tr>
      <w:tr>
        <w:tc>
          <w:tcPr/>
          <w:p>
            <w:r>
              <w:t>Кредитный риск (невозврат займов)</w:t>
            </w:r>
          </w:p>
        </w:tc>
        <w:tc>
          <w:tcPr/>
          <w:p>
            <w:r>
              <w:t>Скоринг заёмщиков на основе данных, диверсификация портфеля, лимиты на одного заёмщика</w:t>
            </w:r>
          </w:p>
        </w:tc>
      </w:tr>
      <w:tr>
        <w:tc>
          <w:tcPr/>
          <w:p>
            <w:r>
              <w:t>Регуляторные изменения со стороны ЦБ РУз</w:t>
            </w:r>
          </w:p>
        </w:tc>
        <w:tc>
          <w:tcPr/>
          <w:p>
            <w:r>
              <w:t>Постоянный мониторинг требований, резерв времени и бюджета на комплаенс</w:t>
            </w:r>
          </w:p>
        </w:tc>
      </w:tr>
      <w:tr>
        <w:tc>
          <w:tcPr/>
          <w:p>
            <w:r>
              <w:t>Киберугрозы и утечка финансовых данных клиентов</w:t>
            </w:r>
          </w:p>
        </w:tc>
        <w:tc>
          <w:tcPr/>
          <w:p>
            <w:r>
              <w:t>Аудит информационной безопасности, страхование киберрисков, шифрование данных</w:t>
            </w:r>
          </w:p>
        </w:tc>
      </w:tr>
      <w:tr>
        <w:tc>
          <w:tcPr/>
          <w:p>
            <w:r>
              <w:t>Валютные риски при работе с иностранными инвесторами/платформами</w:t>
            </w:r>
          </w:p>
        </w:tc>
        <w:tc>
          <w:tcPr/>
          <w:p>
            <w:r>
              <w:t>Хеджирование, расчёты преимущественно в национальной валюте</w:t>
            </w:r>
          </w:p>
        </w:tc>
      </w:tr>
      <w:tr>
        <w:tc>
          <w:tcPr/>
          <w:p>
            <w:r>
              <w:t>Низкая финансовая грамотность части целевой аудитории</w:t>
            </w:r>
          </w:p>
        </w:tc>
        <w:tc>
          <w:tcPr/>
          <w:p>
            <w:r>
              <w:t>Простой и понятный интерфейс, обучающий контент, поддержка на местном языке</w:t>
            </w:r>
          </w:p>
        </w:tc>
      </w:tr>
      <w:tr>
        <w:tc>
          <w:tcPr/>
          <w:p>
            <w:r>
              <w:t>Репутационный риск при агрессивном взыскании задолженности</w:t>
            </w:r>
          </w:p>
        </w:tc>
        <w:tc>
          <w:tcPr/>
          <w:p>
            <w:r>
              <w:t>Прозрачная и этичная политика взыскания, соответствие требованиям ЦБ РУз по защите прав потребителей</w:t>
            </w:r>
          </w:p>
        </w:tc>
      </w:tr>
    </w:tbl>
    <w:p>
      <w:r>
        <w:t>[Впишите] Дополните таблицу своими рисками, специфичными для вашего проекта и региона.</w:t>
      </w:r>
    </w:p>
    <w:sectPr>
      <ck:section v="1:||margins=1.1in,size=letter"/>
      <w:footerReference w:type="default" r:id="rIdHf1"/>
      <w:pgSz w:w="12240" w:h="15840"/>
      <w:pgMar w:top="1584" w:right="1584" w:bottom="1584" w:left="1584" w:header="720" w:footer="720" w:gutter="0"/>
    </w:sectPr>
  </w:body>
</w:document>
</file>

<file path=word/fontTable.xml><?xml version="1.0" encoding="utf-8"?>
<w:fonts xmlns:w="http://schemas.openxmlformats.org/wordprocessingml/2006/main">
  <w:font w:name="Cambria">
    <w:family w:val="roman"/>
  </w:font>
  <w:font w:name="Consolas">
    <w:family w:val="modern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sdt>
    <w:sdtPr>
      <w:tag w:val="clarkdown:div"/>
      <ck:div v="||text-align=center"/>
    </w:sdtPr>
    <w:sdtContent>
      <w:p>
        <w:pPr>
          <w:jc w:val="center"/>
        </w:pPr>
        <w:r>
          <w:t xml:space="preserve">MoliyaHub · </w:t>
        </w:r>
        <w:fldSimple w:instr="PAGE">
          <w:r>
            <w:t>1</w:t>
          </w:r>
        </w:fldSimple>
      </w:p>
    </w:sdtContent>
  </w:sdt>
</w:ft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1."/>
      <w:lvlJc w:val="left"/>
      <w:pPr>
        <w:ind w:left="2880" w:hanging="360"/>
      </w:pPr>
    </w:lvl>
    <w:lvl w:ilvl="4">
      <w:start w:val="1"/>
      <w:numFmt w:val="decimal"/>
      <w:lvlText w:val="%2."/>
      <w:lvlJc w:val="left"/>
      <w:pPr>
        <w:ind w:left="3600" w:hanging="360"/>
      </w:pPr>
    </w:lvl>
    <w:lvl w:ilvl="5">
      <w:start w:val="1"/>
      <w:numFmt w:val="decimal"/>
      <w:lvlText w:val="%3."/>
      <w:lvlJc w:val="left"/>
      <w:pPr>
        <w:ind w:left="4320" w:hanging="360"/>
      </w:pPr>
    </w:lvl>
    <w:lvl w:ilvl="6">
      <w:start w:val="1"/>
      <w:numFmt w:val="decimal"/>
      <w:lvlText w:val="%1."/>
      <w:lvlJc w:val="left"/>
      <w:pPr>
        <w:ind w:left="5040" w:hanging="360"/>
      </w:pPr>
    </w:lvl>
    <w:lvl w:ilvl="7">
      <w:start w:val="1"/>
      <w:numFmt w:val="decimal"/>
      <w:lvlText w:val="%2."/>
      <w:lvlJc w:val="left"/>
      <w:pPr>
        <w:ind w:left="5760" w:hanging="360"/>
      </w:pPr>
    </w:lvl>
    <w:lvl w:ilvl="8">
      <w:start w:val="1"/>
      <w:numFmt w:val="decimal"/>
      <w:lvlText w:val="%3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☐"/>
      <w:lvlJc w:val="left"/>
      <w:pPr>
        <w:ind w:left="720" w:hanging="360"/>
      </w:pPr>
    </w:lvl>
    <w:lvl w:ilvl="1">
      <w:start w:val="1"/>
      <w:numFmt w:val="bullet"/>
      <w:lvlText w:val="☐"/>
      <w:lvlJc w:val="left"/>
      <w:pPr>
        <w:ind w:left="1440" w:hanging="360"/>
      </w:pPr>
    </w:lvl>
    <w:lvl w:ilvl="2">
      <w:start w:val="1"/>
      <w:numFmt w:val="bullet"/>
      <w:lvlText w:val="☐"/>
      <w:lvlJc w:val="left"/>
      <w:pPr>
        <w:ind w:left="2160" w:hanging="360"/>
      </w:pPr>
    </w:lvl>
    <w:lvl w:ilvl="3">
      <w:start w:val="1"/>
      <w:numFmt w:val="bullet"/>
      <w:lvlText w:val="☐"/>
      <w:lvlJc w:val="left"/>
      <w:pPr>
        <w:ind w:left="2880" w:hanging="360"/>
      </w:pPr>
    </w:lvl>
    <w:lvl w:ilvl="4">
      <w:start w:val="1"/>
      <w:numFmt w:val="bullet"/>
      <w:lvlText w:val="☐"/>
      <w:lvlJc w:val="left"/>
      <w:pPr>
        <w:ind w:left="3600" w:hanging="360"/>
      </w:pPr>
    </w:lvl>
    <w:lvl w:ilvl="5">
      <w:start w:val="1"/>
      <w:numFmt w:val="bullet"/>
      <w:lvlText w:val="☐"/>
      <w:lvlJc w:val="left"/>
      <w:pPr>
        <w:ind w:left="4320" w:hanging="360"/>
      </w:pPr>
    </w:lvl>
    <w:lvl w:ilvl="6">
      <w:start w:val="1"/>
      <w:numFmt w:val="bullet"/>
      <w:lvlText w:val="☐"/>
      <w:lvlJc w:val="left"/>
      <w:pPr>
        <w:ind w:left="5040" w:hanging="360"/>
      </w:pPr>
    </w:lvl>
    <w:lvl w:ilvl="7">
      <w:start w:val="1"/>
      <w:numFmt w:val="bullet"/>
      <w:lvlText w:val="☐"/>
      <w:lvlJc w:val="left"/>
      <w:pPr>
        <w:ind w:left="5760" w:hanging="360"/>
      </w:pPr>
    </w:lvl>
    <w:lvl w:ilvl="8">
      <w:start w:val="1"/>
      <w:numFmt w:val="bullet"/>
      <w:lvlText w:val="☐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bullet"/>
      <w:lvlText w:val="☑"/>
      <w:lvlJc w:val="left"/>
      <w:pPr>
        <w:ind w:left="720" w:hanging="360"/>
      </w:pPr>
    </w:lvl>
    <w:lvl w:ilvl="1">
      <w:start w:val="1"/>
      <w:numFmt w:val="bullet"/>
      <w:lvlText w:val="☑"/>
      <w:lvlJc w:val="left"/>
      <w:pPr>
        <w:ind w:left="1440" w:hanging="360"/>
      </w:pPr>
    </w:lvl>
    <w:lvl w:ilvl="2">
      <w:start w:val="1"/>
      <w:numFmt w:val="bullet"/>
      <w:lvlText w:val="☑"/>
      <w:lvlJc w:val="left"/>
      <w:pPr>
        <w:ind w:left="2160" w:hanging="360"/>
      </w:pPr>
    </w:lvl>
    <w:lvl w:ilvl="3">
      <w:start w:val="1"/>
      <w:numFmt w:val="bullet"/>
      <w:lvlText w:val="☑"/>
      <w:lvlJc w:val="left"/>
      <w:pPr>
        <w:ind w:left="2880" w:hanging="360"/>
      </w:pPr>
    </w:lvl>
    <w:lvl w:ilvl="4">
      <w:start w:val="1"/>
      <w:numFmt w:val="bullet"/>
      <w:lvlText w:val="☑"/>
      <w:lvlJc w:val="left"/>
      <w:pPr>
        <w:ind w:left="3600" w:hanging="360"/>
      </w:pPr>
    </w:lvl>
    <w:lvl w:ilvl="5">
      <w:start w:val="1"/>
      <w:numFmt w:val="bullet"/>
      <w:lvlText w:val="☑"/>
      <w:lvlJc w:val="left"/>
      <w:pPr>
        <w:ind w:left="4320" w:hanging="360"/>
      </w:pPr>
    </w:lvl>
    <w:lvl w:ilvl="6">
      <w:start w:val="1"/>
      <w:numFmt w:val="bullet"/>
      <w:lvlText w:val="☑"/>
      <w:lvlJc w:val="left"/>
      <w:pPr>
        <w:ind w:left="5040" w:hanging="360"/>
      </w:pPr>
    </w:lvl>
    <w:lvl w:ilvl="7">
      <w:start w:val="1"/>
      <w:numFmt w:val="bullet"/>
      <w:lvlText w:val="☑"/>
      <w:lvlJc w:val="left"/>
      <w:pPr>
        <w:ind w:left="5760" w:hanging="360"/>
      </w:pPr>
    </w:lvl>
    <w:lvl w:ilvl="8">
      <w:start w:val="1"/>
      <w:numFmt w:val="bullet"/>
      <w:lvlText w:val="☑"/>
      <w:lvlJc w:val="left"/>
      <w:pPr>
        <w:ind w:left="648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cs="Cambria"/>
        <w:sz w:val="22"/>
        <w:szCs w:val="22"/>
        <w:lang w:val="en-US"/>
      </w:rPr>
    </w:rPrDefault>
    <w:pPrDefault>
      <w:pPr>
        <w:spacing w:after="160" w:line="312" w:lineRule="auto"/>
      </w:pPr>
    </w:pPrDefault>
  </w:docDefaults>
  <w:style w:type="paragraph" w:styleId="Normal" w:default="1">
    <w:name w:val="Normal"/>
  </w:style>
  <w:style w:type="paragraph" w:styleId="Heading1" w:default="0">
    <w:name w:val="heading 1"/>
    <w:basedOn w:val="Normal"/>
    <w:next w:val="Normal"/>
    <w:pPr>
      <w:keepNext/>
      <w:keepLines/>
      <w:spacing w:before="320" w:line="264" w:lineRule="auto"/>
      <w:outlineLvl w:val="0"/>
    </w:pPr>
    <w:rPr>
      <w:rFonts w:ascii="Cambria" w:hAnsi="Cambria"/>
      <w:b/>
      <w:color w:val="1A1A1A"/>
      <w:sz w:val="38"/>
      <w:szCs w:val="38"/>
    </w:rPr>
  </w:style>
  <w:style w:type="paragraph" w:styleId="Heading2" w:default="0">
    <w:name w:val="heading 2"/>
    <w:basedOn w:val="Normal"/>
    <w:next w:val="Normal"/>
    <w:pPr>
      <w:keepNext/>
      <w:keepLines/>
      <w:spacing w:before="320" w:line="264" w:lineRule="auto"/>
      <w:outlineLvl w:val="1"/>
    </w:pPr>
    <w:rPr>
      <w:rFonts w:ascii="Cambria" w:hAnsi="Cambria"/>
      <w:b/>
      <w:sz w:val="32"/>
      <w:szCs w:val="32"/>
    </w:rPr>
  </w:style>
  <w:style w:type="paragraph" w:styleId="Heading3" w:default="0">
    <w:name w:val="heading 3"/>
    <w:basedOn w:val="Normal"/>
    <w:next w:val="Normal"/>
    <w:pPr>
      <w:keepNext/>
      <w:keepLines/>
      <w:spacing w:before="160" w:line="264" w:lineRule="auto"/>
      <w:outlineLvl w:val="2"/>
    </w:pPr>
    <w:rPr>
      <w:rFonts w:ascii="Cambria" w:hAnsi="Cambria"/>
      <w:b/>
      <w:sz w:val="26"/>
      <w:szCs w:val="26"/>
    </w:rPr>
  </w:style>
  <w:style w:type="paragraph" w:styleId="Heading4" w:default="0">
    <w:name w:val="heading 4"/>
    <w:basedOn w:val="Normal"/>
    <w:next w:val="Normal"/>
    <w:pPr>
      <w:keepNext/>
      <w:keepLines/>
      <w:spacing w:before="160" w:line="264" w:lineRule="auto"/>
      <w:outlineLvl w:val="3"/>
    </w:pPr>
    <w:rPr>
      <w:rFonts w:ascii="Cambria" w:hAnsi="Cambria"/>
      <w:b/>
      <w:sz w:val="22"/>
      <w:szCs w:val="22"/>
    </w:rPr>
  </w:style>
  <w:style w:type="paragraph" w:styleId="Heading5" w:default="0">
    <w:name w:val="heading 5"/>
    <w:basedOn w:val="Normal"/>
    <w:next w:val="Normal"/>
    <w:pPr>
      <w:keepNext/>
      <w:keepLines/>
      <w:spacing w:before="160" w:line="264" w:lineRule="auto"/>
      <w:outlineLvl w:val="4"/>
    </w:pPr>
    <w:rPr>
      <w:rFonts w:ascii="Cambria" w:hAnsi="Cambria"/>
      <w:b/>
      <w:sz w:val="22"/>
      <w:szCs w:val="22"/>
    </w:rPr>
  </w:style>
  <w:style w:type="paragraph" w:styleId="Heading6" w:default="0">
    <w:name w:val="heading 6"/>
    <w:basedOn w:val="Normal"/>
    <w:next w:val="Normal"/>
    <w:pPr>
      <w:keepNext/>
      <w:keepLines/>
      <w:spacing w:before="160" w:line="264" w:lineRule="auto"/>
      <w:outlineLvl w:val="5"/>
    </w:pPr>
    <w:rPr>
      <w:rFonts w:ascii="Cambria" w:hAnsi="Cambria"/>
      <w:b/>
      <w:sz w:val="22"/>
      <w:szCs w:val="22"/>
    </w:rPr>
  </w:style>
  <w:style w:type="paragraph" w:styleId="Quote" w:default="0">
    <w:name w:val="Quote"/>
    <w:basedOn w:val="Normal"/>
    <w:pPr>
      <w:ind w:left="320"/>
      <w:pBdr>
        <w:left w:val="single" w:sz="24" w:space="12" w:color="BFBFBF"/>
      </w:pBdr>
    </w:pPr>
    <w:rPr>
      <w:i/>
      <w:color w:val="595959"/>
    </w:rPr>
  </w:style>
  <w:style w:type="character" w:styleId="CkHighlight">
    <w:name w:val="Clarkdown Highlight"/>
    <w:rPr>
      <w:shd w:val="clear" w:fill="FFF2A8"/>
    </w:rPr>
  </w:style>
  <w:style w:type="character" w:styleId="CkSmallcaps">
    <w:name w:val="Clarkdown Smallcaps"/>
    <w:rPr>
      <w:smallCaps/>
    </w:rPr>
  </w:style>
  <w:style w:type="character" w:styleId="CkUnderline">
    <w:name w:val="Clarkdown Underline"/>
    <w:rPr>
      <w:u w:val="single"/>
    </w:rPr>
  </w:style>
  <w:style w:type="character" w:styleId="CkMuted">
    <w:name w:val="Clarkdown Muted"/>
    <w:rPr>
      <w:color w:val="595959"/>
    </w:rPr>
  </w:style>
  <w:style w:type="character" w:styleId="CkAccent">
    <w:name w:val="Clarkdown Accent"/>
    <w:rPr>
      <w:color w:val="1A1A1A"/>
    </w:rPr>
  </w:style>
  <w:style w:type="character" w:styleId="CkCaption">
    <w:name w:val="Clarkdown Caption"/>
    <w:rPr>
      <w:i/>
      <w:color w:val="595959"/>
      <w:sz w:val="20"/>
      <w:szCs w:val="20"/>
    </w:rPr>
  </w:style>
  <w:style w:type="paragraph" w:styleId="CkDisplay" w:default="0">
    <w:name w:val="Clarkdown Display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color w:val="1A1A1A"/>
      <w:sz w:val="132"/>
      <w:szCs w:val="132"/>
    </w:rPr>
  </w:style>
  <w:style w:type="character" w:styleId="CkKicker">
    <w:name w:val="Clarkdown Kicker"/>
    <w:rPr>
      <w:smallCaps/>
      <w:spacing w:val="18"/>
      <w:color w:val="595959"/>
    </w:rPr>
  </w:style>
  <w:style w:type="paragraph" w:styleId="CkTrackedCaps" w:default="0">
    <w:name w:val="Clarkdown Tracked Caps"/>
    <w:basedOn w:val="Normal"/>
    <w:next w:val="Normal"/>
    <w:rPr>
      <w:smallCaps/>
      <w:spacing w:val="18"/>
    </w:rPr>
  </w:style>
  <w:style w:type="paragraph" w:styleId="Title" w:default="0">
    <w:name w:val="Title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sz w:val="46"/>
      <w:szCs w:val="46"/>
    </w:rPr>
  </w:style>
  <w:style w:type="character" w:styleId="Hyperlink">
    <w:name w:val="Hyperlink"/>
    <w:rPr>
      <w:color w:val="1A1A1A"/>
      <w:u w:val="single"/>
    </w:rPr>
  </w:style>
  <w:style w:type="paragraph" w:styleId="CkCodeBlock" w:default="0">
    <w:name w:val="Clarkdown Code Block"/>
    <w:basedOn w:val="Normal"/>
    <w:pPr>
      <w:shd w:val="clear" w:fill="EDEDED"/>
      <w:spacing w:after="0" w:line="240" w:lineRule="auto"/>
    </w:pPr>
    <w:rPr>
      <w:rFonts w:ascii="Consolas" w:hAnsi="Consolas"/>
      <w:noProof/>
      <w:sz w:val="20"/>
    </w:rPr>
  </w:style>
  <w:style w:type="character" w:styleId="CkCode">
    <w:name w:val="Clarkdown Code"/>
    <w:rPr>
      <w:rFonts w:ascii="Consolas" w:hAnsi="Consolas"/>
      <w:shd w:val="clear" w:fill="EDEDED"/>
      <w:sz w:val="20"/>
    </w:rPr>
  </w:style>
  <w:style w:type="paragraph" w:styleId="Caption" w:default="0">
    <w:name w:val="caption"/>
    <w:basedOn w:val="Normal"/>
    <w:rPr>
      <w:i/>
      <w:sz w:val="18"/>
    </w:rPr>
  </w:style>
  <w:style w:type="paragraph" w:styleId="ListParagraph" w:default="0">
    <w:name w:val="List Paragraph"/>
    <w:basedOn w:val="Normal"/>
    <w:pPr>
      <w:ind w:left="320"/>
    </w:pPr>
  </w:style>
  <w:style w:type="paragraph" w:styleId="CkUnknown" w:default="0">
    <w:name w:val="Clarkdown Unknown"/>
    <w:basedOn w:val="Normal"/>
    <w:pPr>
      <w:shd w:val="clear" w:fill="FFEEEE"/>
    </w:pPr>
  </w:style>
  <w:style w:type="paragraph" w:styleId="FootnoteText" w:default="0">
    <w:name w:val="footnote text"/>
    <w:basedOn w:val="Normal"/>
    <w:rPr>
      <w:sz w:val="18"/>
    </w:rPr>
  </w:style>
  <w:style w:type="character" w:styleId="FootnoteReference">
    <w:name w:val="footnote reference"/>
    <w:rPr>
      <w:vertAlign w:val="superscript"/>
    </w:rPr>
  </w:style>
  <w:style w:type="table" w:styleId="CkTable">
    <w:name w:val="Clarkdown Table"/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  <w:tblCellMar>
        <w:top w:w="80" w:type="dxa"/>
        <w:left w:w="80" w:type="dxa"/>
        <w:bottom w:w="80" w:type="dxa"/>
        <w:right w:w="80" w:type="dxa"/>
      </w:tblCellMar>
    </w:tblPr>
  </w:style>
  <w:style w:type="table" w:styleId="CkLayout">
    <w:name w:val="Clarkdown Layout"/>
    <w:tblPr>
      <w:tblBorders>
        <w:top w:val="none"/>
        <w:left w:val="none"/>
        <w:bottom w:val="none"/>
        <w:right w:val="none"/>
        <w:insideH w:val="none"/>
        <w:insideV w:val="none"/>
      </w:tblBorders>
    </w:tblPr>
  </w:style>
  <w:style w:type="paragraph" w:styleId="CkNote" w:default="0">
    <w:name w:val="Clarkdown Note"/>
    <w:basedOn w:val="Normal"/>
    <w:pPr>
      <w:pBdr>
        <w:left w:val="single" w:sz="24" w:space="8" w:color="2F6FEB"/>
      </w:pBdr>
      <w:ind w:left="240"/>
    </w:pPr>
  </w:style>
  <w:style w:type="paragraph" w:styleId="CkTip" w:default="0">
    <w:name w:val="Clarkdown Tip"/>
    <w:basedOn w:val="Normal"/>
    <w:pPr>
      <w:pBdr>
        <w:left w:val="single" w:sz="24" w:space="8" w:color="1A7F37"/>
      </w:pBdr>
      <w:ind w:left="240"/>
    </w:pPr>
  </w:style>
  <w:style w:type="paragraph" w:styleId="CkWarning" w:default="0">
    <w:name w:val="Clarkdown Warning"/>
    <w:basedOn w:val="Normal"/>
    <w:pPr>
      <w:pBdr>
        <w:left w:val="single" w:sz="24" w:space="8" w:color="9A6700"/>
      </w:pBdr>
      <w:ind w:left="240"/>
    </w:pPr>
  </w:style>
  <w:style w:type="paragraph" w:styleId="CkImportant" w:default="0">
    <w:name w:val="Clarkdown Important"/>
    <w:basedOn w:val="Normal"/>
    <w:pPr>
      <w:pBdr>
        <w:left w:val="single" w:sz="24" w:space="8" w:color="8250DF"/>
      </w:pBdr>
      <w:ind w:left="240"/>
    </w:pPr>
  </w:style>
  <w:style w:type="paragraph" w:styleId="CkCaution" w:default="0">
    <w:name w:val="Clarkdown Caution"/>
    <w:basedOn w:val="Normal"/>
    <w:pPr>
      <w:pBdr>
        <w:left w:val="single" w:sz="24" w:space="8" w:color="CF222E"/>
      </w:pBdr>
      <w:ind w:left="240"/>
    </w:p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nts" Type="http://schemas.openxmlformats.org/officeDocument/2006/relationships/fontTable" Target="fontTable.xml"/><Relationship Id="rIdSettings" Type="http://schemas.openxmlformats.org/officeDocument/2006/relationships/settings" Target="settings.xml"/><Relationship Id="rIdHf1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rkdownFrontMatter">
    <vt:lpwstr>{"kv":{"theme":"serif"},"v":1}</vt:lpwstr>
  </property>
</Properties>
</file>