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="http://schemas.openxmlformats.org/officeDocument/2006/math" xmlns:mc="http://schemas.openxmlformats.org/markup-compatibility/2006" xmlns:ck="urn:clarkdown:docx" mc:Ignorable="ck">
  <w:body>
    <w:p>
      <w:pPr>
        <w:pStyle w:val="Title"/>
        <ck:id v="section"/>
      </w:pPr>
      <w:bookmarkStart w:id="0" w:name="section"/>
      <w:r>
        <w:t>БИЗНЕС-ПЛАН: ЗДРАВООХРАНЕНИЕ И СОЦИАЛЬНЫЕ УСЛУГИ</w:t>
      </w:r>
      <w:bookmarkEnd w:id="0"/>
    </w:p>
    <w:p>
      <w:r>
        <w:rPr>
          <w:rStyle w:val="CkMuted"/>
        </w:rPr>
        <w:t>Пример: частный медицинский центр</w:t>
      </w:r>
    </w:p>
    <w:p>
      <w:r>
        <w:t>Название проекта: [впишите]</w:t>
      </w:r>
      <w:r>
        <w:br/>
      </w:r>
      <w:r>
        <w:t>Автор / компания: [впишите]</w:t>
      </w:r>
      <w:r>
        <w:br/>
      </w:r>
      <w:r>
        <w:t>Регион реализации: [впишите]</w:t>
      </w:r>
      <w:r>
        <w:br/>
      </w:r>
      <w:r>
        <w:t>Требуемая сумма инвестиций, сум: [впишите]</w:t>
      </w:r>
      <w:r>
        <w:br/>
      </w:r>
      <w:r>
        <w:t>Дата: [впишите]</w:t>
      </w:r>
    </w:p>
    <w:p>
      <w:r>
        <w:rPr>
          <w:rStyle w:val="CkCaption"/>
          <w:i/>
        </w:rPr>
        <w:t>Это готовый образец (шаблон) бизнес-плана MoliyaHub для отрасли «Здравоохранение и социальные услуги». Замените текст в квадратных скобках [впишите] и примеры на данные вашего проекта, добавьте или удалите пункты по необходимости. Абзацы в рамке, отмеченные «ПРИМЕР», — иллюстрация формата ответа, а не факты о реальной компании. Финансовый план с рабочими формулами (SUM, прибыль, срок окупаемости, рентабельность) — в отдельном Excel-файле с тем же названием, который дополняет этот документ.</w:t>
      </w:r>
    </w:p>
    <w:p>
      <w:pPr>
        <w:pStyle w:val="Heading2"/>
        <ck:id v="resume"/>
      </w:pPr>
      <w:bookmarkStart w:id="1" w:name="resume"/>
      <w:r>
        <w:t>Резюме проекта</w:t>
      </w:r>
      <w:bookmarkEnd w:id="1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Медицинский центр «Salomatlik Plus» открывает многопрофильную поликлинику с УЗИ-диагностикой в растущем спальном районе Ташкента. Требуемые инвестиции — 2,4 млрд сум на оборудование и ремонт помещения под медицинские стандарты; окупаемость — около 30 месяцев при выходе на 40 приёмов в день.</w:t>
                </w:r>
              </w:p>
            </w:tc>
          </w:tr>
        </w:tbl>
      </w:sdtContent>
    </w:sdt>
    <w:p>
      <w:r>
        <w:t>[Впишите] В 5-8 предложениях: суть проекта, какую проблему решает, для кого, требуемая сумма инвестиций и на что она пойдёт, ожидаемый результат (выручка/прибыль/срок окупаемости).</w:t>
      </w:r>
    </w:p>
    <w:p>
      <w:pPr>
        <w:pStyle w:val="Heading2"/>
        <ck:id v="company"/>
      </w:pPr>
      <w:bookmarkStart w:id="2" w:name="company"/>
      <w:r>
        <w:t>Описание компании / проекта</w:t>
      </w:r>
      <w:bookmarkEnd w:id="2"/>
    </w:p>
    <w:p>
      <w:r>
        <w:t>[Впишите] Организационно-правовая форма (ИП/ООО/фермерское хозяйство), команда, текущий статус проекта (идея / MVP / действующий бизнес), уникальное торговое предложение.</w:t>
      </w:r>
    </w:p>
    <w:p>
      <w:pPr>
        <w:pStyle w:val="Heading2"/>
        <ck:id v="market"/>
      </w:pPr>
      <w:bookmarkStart w:id="3" w:name="market"/>
      <w:r>
        <w:t>Анализ рынка: Здравоохранение и социальные услуги</w:t>
      </w:r>
      <w:bookmarkEnd w:id="3"/>
    </w:p>
    <w:p>
      <w:pPr>
        <w:pStyle w:val="ListParagraph"/>
        <w:numPr>
          <w:ilvl w:val="0"/>
          <w:numId w:val="1"/>
        </w:numPr>
      </w:pPr>
      <w:r>
        <w:t>Растёт спрос на качественные платные медицинские услуги: по данным Upl.uz со ссылкой на официальную статистику, за январь–август 2025 года объём рынка платных медицинских услуг Узбекистана составил 12,7 трлн сум с ростом на 12,6% год к году (upl.uz).</w:t>
      </w:r>
    </w:p>
    <w:p>
      <w:pPr>
        <w:pStyle w:val="ListParagraph"/>
        <w:numPr>
          <w:ilvl w:val="0"/>
          <w:numId w:val="1"/>
        </w:numPr>
      </w:pPr>
      <w:r>
        <w:t>Рынок сильно централизован в столице: на Ташкент пришлось около половины всего объёма (5,9 трлн сум), далее — Ташкентская область (1,3 трлн сум) и Самаркандская область (938,4 млрд сум); наименьшие объёмы — в Навоийской, Сырдарьинской областях и Каракалпакстане (upl.uz) — в менее насыщенных регионах конкуренция ниже, но и платёжеспособный спрос меньше.</w:t>
      </w:r>
    </w:p>
    <w:p>
      <w:pPr>
        <w:pStyle w:val="ListParagraph"/>
        <w:numPr>
          <w:ilvl w:val="0"/>
          <w:numId w:val="1"/>
        </w:numPr>
      </w:pPr>
      <w:r>
        <w:t>Число частных медицинских учреждений в стране продолжает расти год к году (по данным Госкомстата) — сектор активно переходит от единичных кабинетов к сетевым многопрофильным клиникам.</w:t>
      </w:r>
    </w:p>
    <w:p>
      <w:pPr>
        <w:pStyle w:val="ListParagraph"/>
        <w:numPr>
          <w:ilvl w:val="0"/>
          <w:numId w:val="1"/>
        </w:numPr>
      </w:pPr>
      <w:r>
        <w:t>Развивается медицинский туризм из соседних стран для отдельных видов услуг (стоматология, пластическая хирургия, отдельные виды диагностики) — но эта ниша требует международной сертификации и маркетинга за пределами Узбекистана.</w:t>
      </w:r>
    </w:p>
    <w:p>
      <w:pPr>
        <w:pStyle w:val="ListParagraph"/>
        <w:numPr>
          <w:ilvl w:val="0"/>
          <w:numId w:val="1"/>
        </w:numPr>
      </w:pPr>
      <w:r>
        <w:t>Медицинская деятельность подлежит обязательному лицензированию Министерством здравоохранения — сроки и требования лицензирования стоит закладывать в план запуска заранее, это не быстрый процесс.</w:t>
      </w:r>
    </w:p>
    <w:p>
      <w:pPr>
        <w:pStyle w:val="ListParagraph"/>
        <w:numPr>
          <w:ilvl w:val="0"/>
          <w:numId w:val="1"/>
        </w:numPr>
      </w:pPr>
      <w:r>
        <w:t>Для сравнения: в Казахстане и России частная медицина более консолидирована в сетевые бренды с развитой страховой моделью оплаты — в Узбекистане доля оплаты услуг напрямую пациентом (а не через страховку) всё ещё выше, что делает ценовую доступность более значимым фактором выбора клиники для пациента.</w:t>
      </w:r>
    </w:p>
    <w:p>
      <w:pPr>
        <w:pStyle w:val="ListParagraph"/>
        <w:numPr>
          <w:ilvl w:val="0"/>
          <w:numId w:val="1"/>
        </w:numPr>
      </w:pPr>
      <w:r>
        <w:t>[Впишите] Специализацию центра, конкурентов и их загрузку в вашем регионе — уточняйте по данным местного управления здравоохранения и отзывам пациентов.</w:t>
      </w:r>
    </w:p>
    <w:p>
      <w:pPr>
        <w:pStyle w:val="Heading3"/>
        <ck:id v="section-1"/>
      </w:pPr>
      <w:bookmarkStart w:id="4" w:name="section_1"/>
      <w:r>
        <w:t>Конкуренты</w:t>
      </w:r>
      <w:bookmarkEnd w:id="4"/>
    </w:p>
    <w:p>
      <w:r>
        <w:t>[Впишите] Список из 3-5 прямых конкурентов, их сильные и слабые стороны, чем вы отличаетесь.</w:t>
      </w:r>
    </w:p>
    <w:p>
      <w:pPr>
        <w:pStyle w:val="Heading3"/>
        <ck:id v="section-2"/>
      </w:pPr>
      <w:bookmarkStart w:id="5" w:name="section_2"/>
      <w:r>
        <w:t>Целевая аудитория</w:t>
      </w:r>
      <w:bookmarkEnd w:id="5"/>
    </w:p>
    <w:p>
      <w:r>
        <w:t>[Впишите] Портрет основного клиента: кто он, что для него важно при выборе, где его найти.</w:t>
      </w:r>
    </w:p>
    <w:p>
      <w:pPr>
        <w:pStyle w:val="Heading2"/>
        <ck:id v="marketing"/>
      </w:pPr>
      <w:bookmarkStart w:id="6" w:name="marketing"/>
      <w:r>
        <w:t>Маркетинговый план</w:t>
      </w:r>
      <w:bookmarkEnd w:id="6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Цена — среднерыночная для сегмента с прозрачным прайс-листом на сайте; продвижение — партнёрство с работодателями района на корпоративные программы чек-апов, отзывы пациентов на агрегаторах, контент о профилактике в соцсетях для формирования доверия к центру.</w:t>
                </w:r>
              </w:p>
            </w:tc>
          </w:tr>
        </w:tbl>
      </w:sdtContent>
    </w:sdt>
    <w:p>
      <w:r>
        <w:t>[Впишите] Ценообразование, каналы продвижения и продаж, план привлечения первых клиентов.</w:t>
      </w:r>
    </w:p>
    <w:p>
      <w:pPr>
        <w:pStyle w:val="Heading2"/>
        <ck:id v="operations"/>
      </w:pPr>
      <w:bookmarkStart w:id="7" w:name="operations"/>
      <w:r>
        <w:t>Операционный план</w:t>
      </w:r>
      <w:bookmarkEnd w:id="7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Цикл: запись пациента → приём/консультация → при необходимости диагностика на месте → назначение и, при необходимости, повторный приём → ведение медицинской карты. Требуется лицензирование Минздрава на каждый вид медицинской деятельности и наём персонала с действующими сертификатами.</w:t>
                </w:r>
              </w:p>
            </w:tc>
          </w:tr>
        </w:tbl>
      </w:sdtContent>
    </w:sdt>
    <w:p>
      <w:r>
        <w:t>[Впишите] Процесс производства/оказания услуги, ключевые поставщики, оборудование, необходимые лицензии и разрешения.</w:t>
      </w:r>
    </w:p>
    <w:p>
      <w:pPr>
        <w:pStyle w:val="Heading2"/>
        <ck:id v="org"/>
      </w:pPr>
      <w:bookmarkStart w:id="8" w:name="org"/>
      <w:r>
        <w:t>Организационный план</w:t>
      </w:r>
      <w:bookmarkEnd w:id="8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Главный врач-совладелец, 4 врача разных специализаций, 2 медсестры, администратор ресепшена, бухгалтер на аутсорсе. Форма — ООО с лицензией на медицинскую деятельность.</w:t>
                </w:r>
              </w:p>
            </w:tc>
          </w:tr>
        </w:tbl>
      </w:sdtContent>
    </w:sdt>
    <w:p>
      <w:r>
        <w:t>[Впишите] Команда и роли, штатное расписание, организационно-правовая форма.</w:t>
      </w:r>
    </w:p>
    <w:p>
      <w:pPr>
        <w:pStyle w:val="Heading2"/>
        <ck:id v="risks"/>
      </w:pPr>
      <w:bookmarkStart w:id="9" w:name="risks"/>
      <w:r>
        <w:t>Риски и меры по их снижению</w:t>
      </w:r>
      <w:bookmarkEnd w:id="9"/>
    </w:p>
    <w:tbl>
      <w:tblPr>
        <w:tblStyle w:val="CkTable"/>
        <w:tblW w:w="0" w:type="auto"/>
        <w:tblLayout w:type="autofit"/>
        <w:tblLook w:firstRow="1" w:lastRow="0" w:firstColumn="0" w:lastColumn="0" w:noHBand="0" w:noVBand="1"/>
      </w:tblPr>
      <w:tblGrid>
        <w:gridCol/>
        <w:gridCol/>
      </w:tblGrid>
      <w:tr>
        <w:trPr>
          <w:tblHeader/>
        </w:trPr>
        <w:tc>
          <w:tcPr/>
          <w:p>
            <w:r>
              <w:rPr>
                <w:b/>
              </w:rPr>
              <w:t>Риск</w:t>
            </w:r>
          </w:p>
        </w:tc>
        <w:tc>
          <w:tcPr/>
          <w:p>
            <w:r>
              <w:rPr>
                <w:b/>
              </w:rPr>
              <w:t>Меры снижения</w:t>
            </w:r>
          </w:p>
        </w:tc>
      </w:tr>
      <w:tr>
        <w:tc>
          <w:tcPr/>
          <w:p>
            <w:r>
              <w:t>Дефицит квалифицированных врачей нужной специализации</w:t>
            </w:r>
          </w:p>
        </w:tc>
        <w:tc>
          <w:tcPr/>
          <w:p>
            <w:r>
              <w:t>Конкурентные условия, партнёрства с медицинскими вузами, программы наставничества</w:t>
            </w:r>
          </w:p>
        </w:tc>
      </w:tr>
      <w:tr>
        <w:tc>
          <w:tcPr/>
          <w:p>
            <w:r>
              <w:t>Регуляторные требования и длительные сроки лицензирования</w:t>
            </w:r>
          </w:p>
        </w:tc>
        <w:tc>
          <w:tcPr/>
          <w:p>
            <w:r>
              <w:t>Заблаговременная подготовка документов, консультации с профильными юристами до старта</w:t>
            </w:r>
          </w:p>
        </w:tc>
      </w:tr>
      <w:tr>
        <w:tc>
          <w:tcPr/>
          <w:p>
            <w:r>
              <w:t>Репутационные риски при врачебных ошибках или жалобах пациентов</w:t>
            </w:r>
          </w:p>
        </w:tc>
        <w:tc>
          <w:tcPr/>
          <w:p>
            <w:r>
              <w:t>Контроль качества услуг, страхование профессиональной ответственности, прозрачная работа с жалобами</w:t>
            </w:r>
          </w:p>
        </w:tc>
      </w:tr>
      <w:tr>
        <w:tc>
          <w:tcPr/>
          <w:p>
            <w:r>
              <w:t>Высокая концентрация конкурентов в крупных городах</w:t>
            </w:r>
          </w:p>
        </w:tc>
        <w:tc>
          <w:tcPr/>
          <w:p>
            <w:r>
              <w:t>Чёткая специализация и УТП, рассмотрение менее насыщенных районов/регионов</w:t>
            </w:r>
          </w:p>
        </w:tc>
      </w:tr>
      <w:tr>
        <w:tc>
          <w:tcPr/>
          <w:p>
            <w:r>
              <w:t>Рост цен на медицинское оборудование и расходники (валютная составляющая)</w:t>
            </w:r>
          </w:p>
        </w:tc>
        <w:tc>
          <w:tcPr/>
          <w:p>
            <w:r>
              <w:t>Долгосрочные контракты с поставщиками, частичное резервирование в валюте</w:t>
            </w:r>
          </w:p>
        </w:tc>
      </w:tr>
      <w:tr>
        <w:tc>
          <w:tcPr/>
          <w:p>
            <w:r>
              <w:t>Отток пациентов к медтуризму за рубеж по сложным случаям</w:t>
            </w:r>
          </w:p>
        </w:tc>
        <w:tc>
          <w:tcPr/>
          <w:p>
            <w:r>
              <w:t>Партнёрства с зарубежными клиниками для сложных случаев, фокус на массовые и профилактические услуги на месте</w:t>
            </w:r>
          </w:p>
        </w:tc>
      </w:tr>
    </w:tbl>
    <w:p>
      <w:r>
        <w:t>[Впишите] Дополните таблицу своими рисками, специфичными для вашего проекта и региона.</w:t>
      </w:r>
    </w:p>
    <w:sectPr>
      <ck:section v="1:||margins=1.1in,size=letter"/>
      <w:footerReference w:type="default" r:id="rIdHf1"/>
      <w:pgSz w:w="12240" w:h="15840"/>
      <w:pgMar w:top="1584" w:right="1584" w:bottom="1584" w:left="1584" w:header="720" w:footer="720" w:gutter="0"/>
    </w:sectPr>
  </w:body>
</w:document>
</file>

<file path=word/fontTable.xml><?xml version="1.0" encoding="utf-8"?>
<w:fonts xmlns:w="http://schemas.openxmlformats.org/wordprocessingml/2006/main">
  <w:font w:name="Cambria">
    <w:family w:val="roman"/>
  </w:font>
  <w:font w:name="Consolas">
    <w:family w:val="modern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m="http://schemas.openxmlformats.org/officeDocument/2006/math" xmlns:mc="http://schemas.openxmlformats.org/markup-compatibility/2006" xmlns:ck="urn:clarkdown:docx" mc:Ignorable="ck">
  <w:sdt>
    <w:sdtPr>
      <w:tag w:val="clarkdown:div"/>
      <ck:div v="||text-align=center"/>
    </w:sdtPr>
    <w:sdtContent>
      <w:p>
        <w:pPr>
          <w:jc w:val="center"/>
        </w:pPr>
        <w:r>
          <w:t xml:space="preserve">MoliyaHub · </w:t>
        </w:r>
        <w:fldSimple w:instr="PAGE">
          <w:r>
            <w:t>1</w:t>
          </w:r>
        </w:fldSimple>
      </w:p>
    </w:sdtContent>
  </w:sdt>
</w:ftr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1."/>
      <w:lvlJc w:val="left"/>
      <w:pPr>
        <w:ind w:left="2880" w:hanging="360"/>
      </w:pPr>
    </w:lvl>
    <w:lvl w:ilvl="4">
      <w:start w:val="1"/>
      <w:numFmt w:val="decimal"/>
      <w:lvlText w:val="%2."/>
      <w:lvlJc w:val="left"/>
      <w:pPr>
        <w:ind w:left="3600" w:hanging="360"/>
      </w:pPr>
    </w:lvl>
    <w:lvl w:ilvl="5">
      <w:start w:val="1"/>
      <w:numFmt w:val="decimal"/>
      <w:lvlText w:val="%3."/>
      <w:lvlJc w:val="left"/>
      <w:pPr>
        <w:ind w:left="4320" w:hanging="360"/>
      </w:pPr>
    </w:lvl>
    <w:lvl w:ilvl="6">
      <w:start w:val="1"/>
      <w:numFmt w:val="decimal"/>
      <w:lvlText w:val="%1."/>
      <w:lvlJc w:val="left"/>
      <w:pPr>
        <w:ind w:left="5040" w:hanging="360"/>
      </w:pPr>
    </w:lvl>
    <w:lvl w:ilvl="7">
      <w:start w:val="1"/>
      <w:numFmt w:val="decimal"/>
      <w:lvlText w:val="%2."/>
      <w:lvlJc w:val="left"/>
      <w:pPr>
        <w:ind w:left="5760" w:hanging="360"/>
      </w:pPr>
    </w:lvl>
    <w:lvl w:ilvl="8">
      <w:start w:val="1"/>
      <w:numFmt w:val="decimal"/>
      <w:lvlText w:val="%3.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bullet"/>
      <w:lvlText w:val="☐"/>
      <w:lvlJc w:val="left"/>
      <w:pPr>
        <w:ind w:left="720" w:hanging="360"/>
      </w:pPr>
    </w:lvl>
    <w:lvl w:ilvl="1">
      <w:start w:val="1"/>
      <w:numFmt w:val="bullet"/>
      <w:lvlText w:val="☐"/>
      <w:lvlJc w:val="left"/>
      <w:pPr>
        <w:ind w:left="1440" w:hanging="360"/>
      </w:pPr>
    </w:lvl>
    <w:lvl w:ilvl="2">
      <w:start w:val="1"/>
      <w:numFmt w:val="bullet"/>
      <w:lvlText w:val="☐"/>
      <w:lvlJc w:val="left"/>
      <w:pPr>
        <w:ind w:left="2160" w:hanging="360"/>
      </w:pPr>
    </w:lvl>
    <w:lvl w:ilvl="3">
      <w:start w:val="1"/>
      <w:numFmt w:val="bullet"/>
      <w:lvlText w:val="☐"/>
      <w:lvlJc w:val="left"/>
      <w:pPr>
        <w:ind w:left="2880" w:hanging="360"/>
      </w:pPr>
    </w:lvl>
    <w:lvl w:ilvl="4">
      <w:start w:val="1"/>
      <w:numFmt w:val="bullet"/>
      <w:lvlText w:val="☐"/>
      <w:lvlJc w:val="left"/>
      <w:pPr>
        <w:ind w:left="3600" w:hanging="360"/>
      </w:pPr>
    </w:lvl>
    <w:lvl w:ilvl="5">
      <w:start w:val="1"/>
      <w:numFmt w:val="bullet"/>
      <w:lvlText w:val="☐"/>
      <w:lvlJc w:val="left"/>
      <w:pPr>
        <w:ind w:left="4320" w:hanging="360"/>
      </w:pPr>
    </w:lvl>
    <w:lvl w:ilvl="6">
      <w:start w:val="1"/>
      <w:numFmt w:val="bullet"/>
      <w:lvlText w:val="☐"/>
      <w:lvlJc w:val="left"/>
      <w:pPr>
        <w:ind w:left="5040" w:hanging="360"/>
      </w:pPr>
    </w:lvl>
    <w:lvl w:ilvl="7">
      <w:start w:val="1"/>
      <w:numFmt w:val="bullet"/>
      <w:lvlText w:val="☐"/>
      <w:lvlJc w:val="left"/>
      <w:pPr>
        <w:ind w:left="5760" w:hanging="360"/>
      </w:pPr>
    </w:lvl>
    <w:lvl w:ilvl="8">
      <w:start w:val="1"/>
      <w:numFmt w:val="bullet"/>
      <w:lvlText w:val="☐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bullet"/>
      <w:lvlText w:val="☑"/>
      <w:lvlJc w:val="left"/>
      <w:pPr>
        <w:ind w:left="720" w:hanging="360"/>
      </w:pPr>
    </w:lvl>
    <w:lvl w:ilvl="1">
      <w:start w:val="1"/>
      <w:numFmt w:val="bullet"/>
      <w:lvlText w:val="☑"/>
      <w:lvlJc w:val="left"/>
      <w:pPr>
        <w:ind w:left="1440" w:hanging="360"/>
      </w:pPr>
    </w:lvl>
    <w:lvl w:ilvl="2">
      <w:start w:val="1"/>
      <w:numFmt w:val="bullet"/>
      <w:lvlText w:val="☑"/>
      <w:lvlJc w:val="left"/>
      <w:pPr>
        <w:ind w:left="2160" w:hanging="360"/>
      </w:pPr>
    </w:lvl>
    <w:lvl w:ilvl="3">
      <w:start w:val="1"/>
      <w:numFmt w:val="bullet"/>
      <w:lvlText w:val="☑"/>
      <w:lvlJc w:val="left"/>
      <w:pPr>
        <w:ind w:left="2880" w:hanging="360"/>
      </w:pPr>
    </w:lvl>
    <w:lvl w:ilvl="4">
      <w:start w:val="1"/>
      <w:numFmt w:val="bullet"/>
      <w:lvlText w:val="☑"/>
      <w:lvlJc w:val="left"/>
      <w:pPr>
        <w:ind w:left="3600" w:hanging="360"/>
      </w:pPr>
    </w:lvl>
    <w:lvl w:ilvl="5">
      <w:start w:val="1"/>
      <w:numFmt w:val="bullet"/>
      <w:lvlText w:val="☑"/>
      <w:lvlJc w:val="left"/>
      <w:pPr>
        <w:ind w:left="4320" w:hanging="360"/>
      </w:pPr>
    </w:lvl>
    <w:lvl w:ilvl="6">
      <w:start w:val="1"/>
      <w:numFmt w:val="bullet"/>
      <w:lvlText w:val="☑"/>
      <w:lvlJc w:val="left"/>
      <w:pPr>
        <w:ind w:left="5040" w:hanging="360"/>
      </w:pPr>
    </w:lvl>
    <w:lvl w:ilvl="7">
      <w:start w:val="1"/>
      <w:numFmt w:val="bullet"/>
      <w:lvlText w:val="☑"/>
      <w:lvlJc w:val="left"/>
      <w:pPr>
        <w:ind w:left="5760" w:hanging="360"/>
      </w:pPr>
    </w:lvl>
    <w:lvl w:ilvl="8">
      <w:start w:val="1"/>
      <w:numFmt w:val="bullet"/>
      <w:lvlText w:val="☑"/>
      <w:lvlJc w:val="left"/>
      <w:pPr>
        <w:ind w:left="648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cs="Cambria"/>
        <w:sz w:val="22"/>
        <w:szCs w:val="22"/>
        <w:lang w:val="en-US"/>
      </w:rPr>
    </w:rPrDefault>
    <w:pPrDefault>
      <w:pPr>
        <w:spacing w:after="160" w:line="312" w:lineRule="auto"/>
      </w:pPr>
    </w:pPrDefault>
  </w:docDefaults>
  <w:style w:type="paragraph" w:styleId="Normal" w:default="1">
    <w:name w:val="Normal"/>
  </w:style>
  <w:style w:type="paragraph" w:styleId="Heading1" w:default="0">
    <w:name w:val="heading 1"/>
    <w:basedOn w:val="Normal"/>
    <w:next w:val="Normal"/>
    <w:pPr>
      <w:keepNext/>
      <w:keepLines/>
      <w:spacing w:before="320" w:line="264" w:lineRule="auto"/>
      <w:outlineLvl w:val="0"/>
    </w:pPr>
    <w:rPr>
      <w:rFonts w:ascii="Cambria" w:hAnsi="Cambria"/>
      <w:b/>
      <w:color w:val="1A1A1A"/>
      <w:sz w:val="38"/>
      <w:szCs w:val="38"/>
    </w:rPr>
  </w:style>
  <w:style w:type="paragraph" w:styleId="Heading2" w:default="0">
    <w:name w:val="heading 2"/>
    <w:basedOn w:val="Normal"/>
    <w:next w:val="Normal"/>
    <w:pPr>
      <w:keepNext/>
      <w:keepLines/>
      <w:spacing w:before="320" w:line="264" w:lineRule="auto"/>
      <w:outlineLvl w:val="1"/>
    </w:pPr>
    <w:rPr>
      <w:rFonts w:ascii="Cambria" w:hAnsi="Cambria"/>
      <w:b/>
      <w:sz w:val="32"/>
      <w:szCs w:val="32"/>
    </w:rPr>
  </w:style>
  <w:style w:type="paragraph" w:styleId="Heading3" w:default="0">
    <w:name w:val="heading 3"/>
    <w:basedOn w:val="Normal"/>
    <w:next w:val="Normal"/>
    <w:pPr>
      <w:keepNext/>
      <w:keepLines/>
      <w:spacing w:before="160" w:line="264" w:lineRule="auto"/>
      <w:outlineLvl w:val="2"/>
    </w:pPr>
    <w:rPr>
      <w:rFonts w:ascii="Cambria" w:hAnsi="Cambria"/>
      <w:b/>
      <w:sz w:val="26"/>
      <w:szCs w:val="26"/>
    </w:rPr>
  </w:style>
  <w:style w:type="paragraph" w:styleId="Heading4" w:default="0">
    <w:name w:val="heading 4"/>
    <w:basedOn w:val="Normal"/>
    <w:next w:val="Normal"/>
    <w:pPr>
      <w:keepNext/>
      <w:keepLines/>
      <w:spacing w:before="160" w:line="264" w:lineRule="auto"/>
      <w:outlineLvl w:val="3"/>
    </w:pPr>
    <w:rPr>
      <w:rFonts w:ascii="Cambria" w:hAnsi="Cambria"/>
      <w:b/>
      <w:sz w:val="22"/>
      <w:szCs w:val="22"/>
    </w:rPr>
  </w:style>
  <w:style w:type="paragraph" w:styleId="Heading5" w:default="0">
    <w:name w:val="heading 5"/>
    <w:basedOn w:val="Normal"/>
    <w:next w:val="Normal"/>
    <w:pPr>
      <w:keepNext/>
      <w:keepLines/>
      <w:spacing w:before="160" w:line="264" w:lineRule="auto"/>
      <w:outlineLvl w:val="4"/>
    </w:pPr>
    <w:rPr>
      <w:rFonts w:ascii="Cambria" w:hAnsi="Cambria"/>
      <w:b/>
      <w:sz w:val="22"/>
      <w:szCs w:val="22"/>
    </w:rPr>
  </w:style>
  <w:style w:type="paragraph" w:styleId="Heading6" w:default="0">
    <w:name w:val="heading 6"/>
    <w:basedOn w:val="Normal"/>
    <w:next w:val="Normal"/>
    <w:pPr>
      <w:keepNext/>
      <w:keepLines/>
      <w:spacing w:before="160" w:line="264" w:lineRule="auto"/>
      <w:outlineLvl w:val="5"/>
    </w:pPr>
    <w:rPr>
      <w:rFonts w:ascii="Cambria" w:hAnsi="Cambria"/>
      <w:b/>
      <w:sz w:val="22"/>
      <w:szCs w:val="22"/>
    </w:rPr>
  </w:style>
  <w:style w:type="paragraph" w:styleId="Quote" w:default="0">
    <w:name w:val="Quote"/>
    <w:basedOn w:val="Normal"/>
    <w:pPr>
      <w:ind w:left="320"/>
      <w:pBdr>
        <w:left w:val="single" w:sz="24" w:space="12" w:color="BFBFBF"/>
      </w:pBdr>
    </w:pPr>
    <w:rPr>
      <w:i/>
      <w:color w:val="595959"/>
    </w:rPr>
  </w:style>
  <w:style w:type="character" w:styleId="CkHighlight">
    <w:name w:val="Clarkdown Highlight"/>
    <w:rPr>
      <w:shd w:val="clear" w:fill="FFF2A8"/>
    </w:rPr>
  </w:style>
  <w:style w:type="character" w:styleId="CkSmallcaps">
    <w:name w:val="Clarkdown Smallcaps"/>
    <w:rPr>
      <w:smallCaps/>
    </w:rPr>
  </w:style>
  <w:style w:type="character" w:styleId="CkUnderline">
    <w:name w:val="Clarkdown Underline"/>
    <w:rPr>
      <w:u w:val="single"/>
    </w:rPr>
  </w:style>
  <w:style w:type="character" w:styleId="CkMuted">
    <w:name w:val="Clarkdown Muted"/>
    <w:rPr>
      <w:color w:val="595959"/>
    </w:rPr>
  </w:style>
  <w:style w:type="character" w:styleId="CkAccent">
    <w:name w:val="Clarkdown Accent"/>
    <w:rPr>
      <w:color w:val="1A1A1A"/>
    </w:rPr>
  </w:style>
  <w:style w:type="character" w:styleId="CkCaption">
    <w:name w:val="Clarkdown Caption"/>
    <w:rPr>
      <w:i/>
      <w:color w:val="595959"/>
      <w:sz w:val="20"/>
      <w:szCs w:val="20"/>
    </w:rPr>
  </w:style>
  <w:style w:type="paragraph" w:styleId="CkDisplay" w:default="0">
    <w:name w:val="Clarkdown Display"/>
    <w:basedOn w:val="Normal"/>
    <w:next w:val="Normal"/>
    <w:pPr>
      <w:keepNext/>
      <w:keepLines/>
      <w:spacing w:after="240" w:line="264" w:lineRule="auto"/>
    </w:pPr>
    <w:rPr>
      <w:rFonts w:ascii="Cambria" w:hAnsi="Cambria"/>
      <w:b/>
      <w:color w:val="1A1A1A"/>
      <w:sz w:val="132"/>
      <w:szCs w:val="132"/>
    </w:rPr>
  </w:style>
  <w:style w:type="character" w:styleId="CkKicker">
    <w:name w:val="Clarkdown Kicker"/>
    <w:rPr>
      <w:smallCaps/>
      <w:spacing w:val="18"/>
      <w:color w:val="595959"/>
    </w:rPr>
  </w:style>
  <w:style w:type="paragraph" w:styleId="CkTrackedCaps" w:default="0">
    <w:name w:val="Clarkdown Tracked Caps"/>
    <w:basedOn w:val="Normal"/>
    <w:next w:val="Normal"/>
    <w:rPr>
      <w:smallCaps/>
      <w:spacing w:val="18"/>
    </w:rPr>
  </w:style>
  <w:style w:type="paragraph" w:styleId="Title" w:default="0">
    <w:name w:val="Title"/>
    <w:basedOn w:val="Normal"/>
    <w:next w:val="Normal"/>
    <w:pPr>
      <w:keepNext/>
      <w:keepLines/>
      <w:spacing w:after="240" w:line="264" w:lineRule="auto"/>
    </w:pPr>
    <w:rPr>
      <w:rFonts w:ascii="Cambria" w:hAnsi="Cambria"/>
      <w:b/>
      <w:sz w:val="46"/>
      <w:szCs w:val="46"/>
    </w:rPr>
  </w:style>
  <w:style w:type="character" w:styleId="Hyperlink">
    <w:name w:val="Hyperlink"/>
    <w:rPr>
      <w:color w:val="1A1A1A"/>
      <w:u w:val="single"/>
    </w:rPr>
  </w:style>
  <w:style w:type="paragraph" w:styleId="CkCodeBlock" w:default="0">
    <w:name w:val="Clarkdown Code Block"/>
    <w:basedOn w:val="Normal"/>
    <w:pPr>
      <w:shd w:val="clear" w:fill="EDEDED"/>
      <w:spacing w:after="0" w:line="240" w:lineRule="auto"/>
    </w:pPr>
    <w:rPr>
      <w:rFonts w:ascii="Consolas" w:hAnsi="Consolas"/>
      <w:noProof/>
      <w:sz w:val="20"/>
    </w:rPr>
  </w:style>
  <w:style w:type="character" w:styleId="CkCode">
    <w:name w:val="Clarkdown Code"/>
    <w:rPr>
      <w:rFonts w:ascii="Consolas" w:hAnsi="Consolas"/>
      <w:shd w:val="clear" w:fill="EDEDED"/>
      <w:sz w:val="20"/>
    </w:rPr>
  </w:style>
  <w:style w:type="paragraph" w:styleId="Caption" w:default="0">
    <w:name w:val="caption"/>
    <w:basedOn w:val="Normal"/>
    <w:rPr>
      <w:i/>
      <w:sz w:val="18"/>
    </w:rPr>
  </w:style>
  <w:style w:type="paragraph" w:styleId="ListParagraph" w:default="0">
    <w:name w:val="List Paragraph"/>
    <w:basedOn w:val="Normal"/>
    <w:pPr>
      <w:ind w:left="320"/>
    </w:pPr>
  </w:style>
  <w:style w:type="paragraph" w:styleId="CkUnknown" w:default="0">
    <w:name w:val="Clarkdown Unknown"/>
    <w:basedOn w:val="Normal"/>
    <w:pPr>
      <w:shd w:val="clear" w:fill="FFEEEE"/>
    </w:pPr>
  </w:style>
  <w:style w:type="paragraph" w:styleId="FootnoteText" w:default="0">
    <w:name w:val="footnote text"/>
    <w:basedOn w:val="Normal"/>
    <w:rPr>
      <w:sz w:val="18"/>
    </w:rPr>
  </w:style>
  <w:style w:type="character" w:styleId="FootnoteReference">
    <w:name w:val="footnote reference"/>
    <w:rPr>
      <w:vertAlign w:val="superscript"/>
    </w:rPr>
  </w:style>
  <w:style w:type="table" w:styleId="CkTable">
    <w:name w:val="Clarkdown Table"/>
    <w:tblPr>
      <w:tblBorders>
        <w:top w:val="single" w:sz="4" w:color="BFBFBF"/>
        <w:left w:val="single" w:sz="4" w:color="BFBFBF"/>
        <w:bottom w:val="single" w:sz="4" w:color="BFBFBF"/>
        <w:right w:val="single" w:sz="4" w:color="BFBFBF"/>
        <w:insideH w:val="single" w:sz="4" w:color="BFBFBF"/>
        <w:insideV w:val="single" w:sz="4" w:color="BFBFBF"/>
      </w:tblBorders>
      <w:tblCellMar>
        <w:top w:w="80" w:type="dxa"/>
        <w:left w:w="80" w:type="dxa"/>
        <w:bottom w:w="80" w:type="dxa"/>
        <w:right w:w="80" w:type="dxa"/>
      </w:tblCellMar>
    </w:tblPr>
  </w:style>
  <w:style w:type="table" w:styleId="CkLayout">
    <w:name w:val="Clarkdown Layout"/>
    <w:tblPr>
      <w:tblBorders>
        <w:top w:val="none"/>
        <w:left w:val="none"/>
        <w:bottom w:val="none"/>
        <w:right w:val="none"/>
        <w:insideH w:val="none"/>
        <w:insideV w:val="none"/>
      </w:tblBorders>
    </w:tblPr>
  </w:style>
  <w:style w:type="paragraph" w:styleId="CkNote" w:default="0">
    <w:name w:val="Clarkdown Note"/>
    <w:basedOn w:val="Normal"/>
    <w:pPr>
      <w:pBdr>
        <w:left w:val="single" w:sz="24" w:space="8" w:color="2F6FEB"/>
      </w:pBdr>
      <w:ind w:left="240"/>
    </w:pPr>
  </w:style>
  <w:style w:type="paragraph" w:styleId="CkTip" w:default="0">
    <w:name w:val="Clarkdown Tip"/>
    <w:basedOn w:val="Normal"/>
    <w:pPr>
      <w:pBdr>
        <w:left w:val="single" w:sz="24" w:space="8" w:color="1A7F37"/>
      </w:pBdr>
      <w:ind w:left="240"/>
    </w:pPr>
  </w:style>
  <w:style w:type="paragraph" w:styleId="CkWarning" w:default="0">
    <w:name w:val="Clarkdown Warning"/>
    <w:basedOn w:val="Normal"/>
    <w:pPr>
      <w:pBdr>
        <w:left w:val="single" w:sz="24" w:space="8" w:color="9A6700"/>
      </w:pBdr>
      <w:ind w:left="240"/>
    </w:pPr>
  </w:style>
  <w:style w:type="paragraph" w:styleId="CkImportant" w:default="0">
    <w:name w:val="Clarkdown Important"/>
    <w:basedOn w:val="Normal"/>
    <w:pPr>
      <w:pBdr>
        <w:left w:val="single" w:sz="24" w:space="8" w:color="8250DF"/>
      </w:pBdr>
      <w:ind w:left="240"/>
    </w:pPr>
  </w:style>
  <w:style w:type="paragraph" w:styleId="CkCaution" w:default="0">
    <w:name w:val="Clarkdown Caution"/>
    <w:basedOn w:val="Normal"/>
    <w:pPr>
      <w:pBdr>
        <w:left w:val="single" w:sz="24" w:space="8" w:color="CF222E"/>
      </w:pBdr>
      <w:ind w:left="240"/>
    </w:p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nts" Type="http://schemas.openxmlformats.org/officeDocument/2006/relationships/fontTable" Target="fontTable.xml"/><Relationship Id="rIdSettings" Type="http://schemas.openxmlformats.org/officeDocument/2006/relationships/settings" Target="settings.xml"/><Relationship Id="rIdHf1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rkdownFrontMatter">
    <vt:lpwstr>{"kv":{"theme":"serif"},"v":1}</vt:lpwstr>
  </property>
</Properties>
</file>