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ПРОМЫШЛЕННОСТЬ</w:t>
      </w:r>
      <w:bookmarkEnd w:id="0"/>
    </w:p>
    <w:p>
      <w:r>
        <w:rPr>
          <w:rStyle w:val="CkMuted"/>
        </w:rPr>
        <w:t>Пример: небольшое перерабатывающее или швейное производство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«Промышленность».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ООО «Vodiy Tekstil» открывает швейный цех полного цикла в Ферганской области на 40 рабочих мест: закупка хлопковой пряжи у местного кластера, пошив трикотажных изделий для экспорта в Казахстан и Россию. Требуемые инвестиции — 850 млн сум на оборудование и оборотный капитал на первую партию; срок окупаемости — около 18 месяцев за счёт контракта с оптовым дистрибьютором на первый год.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Промышленность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— один из крупнейших мировых производителей хлопка-волокна; сырьевая база для текстильной и швейной отрасли — на месте, что снижает валютные риски по сырью по сравнению с странами-импортёрами хлопка.</w:t>
      </w:r>
    </w:p>
    <w:p>
      <w:pPr>
        <w:pStyle w:val="ListParagraph"/>
        <w:numPr>
          <w:ilvl w:val="0"/>
          <w:numId w:val="1"/>
        </w:numPr>
      </w:pPr>
      <w:r>
        <w:t>Текстильная и швейная промышленность — приоритетный экспортный сектор: действуют кластерная система (от хлопка до готового изделия в одной цепочке), свободные экономические зоны и налоговые льготы для производителей-экспортёров.</w:t>
      </w:r>
    </w:p>
    <w:p>
      <w:pPr>
        <w:pStyle w:val="ListParagraph"/>
        <w:numPr>
          <w:ilvl w:val="0"/>
          <w:numId w:val="1"/>
        </w:numPr>
      </w:pPr>
      <w:r>
        <w:t>По данным Госкомстата, за январь–апрель 2026 года Узбекистан экспортировал текстильной продукции на $454,5 млн (готовые изделия — 50%, пряжа — 32%), что заметно ниже уровня аналогичного периода 2025 года (около $840 млн) — отрасль ощущает давление внешнего спроса и ценовой конкуренции, планировать выручку на экспорт стоит консервативно (stat.uz).</w:t>
      </w:r>
    </w:p>
    <w:p>
      <w:pPr>
        <w:pStyle w:val="ListParagraph"/>
        <w:numPr>
          <w:ilvl w:val="0"/>
          <w:numId w:val="1"/>
        </w:numPr>
      </w:pPr>
      <w:r>
        <w:t>Для сравнения: Турция и Пакистан остаются крупнейшими конкурентами на глобальном рынке текстиля и швейных изделий за счёт масштаба производства и близости к морским портам; Узбекистан конкурирует прежде всего собственным хлопковым сырьём и льготными условиями в кластерах — логистика в ЕС/США у него дороже и дольше.</w:t>
      </w:r>
    </w:p>
    <w:p>
      <w:pPr>
        <w:pStyle w:val="ListParagraph"/>
        <w:numPr>
          <w:ilvl w:val="0"/>
          <w:numId w:val="1"/>
        </w:numPr>
      </w:pPr>
      <w:r>
        <w:t>Растёт экспорт в страны СНГ и ЕС (Узбекистан имеет преференциальный режим GSP+ с ЕС на часть товарных позиций) — учитывайте требования к качеству, сертификации (ISO, Oeko-Tex для текстиля) и происхождению товара на целевом рынке.</w:t>
      </w:r>
    </w:p>
    <w:p>
      <w:pPr>
        <w:pStyle w:val="ListParagraph"/>
        <w:numPr>
          <w:ilvl w:val="0"/>
          <w:numId w:val="1"/>
        </w:numPr>
      </w:pPr>
      <w:r>
        <w:t>Горнодобыча и металлургия (золото, медь, урановое сырьё) — капиталоёмкие подотрасли с доминированием крупных государственных холдингов (АГМК, НГМК); малому и среднему бизнесу здесь реалистичнее заходить через сервис и подряд (обслуживание техники, транспорт, стройка на объектах), а не через добычу.</w:t>
      </w:r>
    </w:p>
    <w:p>
      <w:pPr>
        <w:pStyle w:val="ListParagraph"/>
        <w:numPr>
          <w:ilvl w:val="0"/>
          <w:numId w:val="1"/>
        </w:numPr>
      </w:pPr>
      <w:r>
        <w:t>Химическая, фармацевтическая и стройматериальная подотрасли растут за счёт импортозамещения и госпрограмм локализации — субсидии и таможенные льготы на оборудование для локализуемых производств стоит проверять по актуальному перечню Мининвестпрома на момент запуска.</w:t>
      </w:r>
    </w:p>
    <w:p>
      <w:pPr>
        <w:pStyle w:val="ListParagraph"/>
        <w:numPr>
          <w:ilvl w:val="0"/>
          <w:numId w:val="1"/>
        </w:numPr>
      </w:pPr>
      <w:r>
        <w:t>[Впишите] Объём и динамику конкретного продуктового сегмента, ключевых конкурентов и их долю рынка — эти данные лучше собрать под конкретный продукт (отраслевая статистика Госкомстата, отраслевые ассоциации, таможенная статистика).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на 10-15% ниже турецких аналогов за счёт местного сырья; продажи через прямые контракты с 3 оптовыми сетями в Казахстане и участие в отраслевых выставках (Uzbekistan Textile Expo); первые заказы — через существующие связи владельца в отрасли и каталог на B2B-платформах.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приём пряжи от кластера → вязка полотна → раскрой → пошив → упаковка → отгрузка. Ключевой поставщик сырья — местный хлопково-текстильный кластер по долгосрочному договору. Необходимые разрешения: сертификат соответствия на продукцию, при экспорте — сертификат происхождения товара.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Директор-учредитель, технолог производства, 2 мастера смены, 36 швей, бухгалтер на аутсорсе. Форма — ООО (общество с ограниченной ответственностью), упрощённый налоговый режим на старте.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Колебания курса при импорте оборудования и части фурнитуры</w:t>
            </w:r>
          </w:p>
        </w:tc>
        <w:tc>
          <w:tcPr/>
          <w:p>
            <w:r>
              <w:t>Фиксировать цены в договорах, закупать оборудование партиями, диверсифицировать поставщиков</w:t>
            </w:r>
          </w:p>
        </w:tc>
      </w:tr>
      <w:tr>
        <w:tc>
          <w:tcPr/>
          <w:p>
            <w:r>
              <w:t>Дефицит квалифицированных кадров (технологи, наладчики оборудования)</w:t>
            </w:r>
          </w:p>
        </w:tc>
        <w:tc>
          <w:tcPr/>
          <w:p>
            <w:r>
              <w:t>Обучение на месте, партнёрство с колледжами/техникумами, стажировки</w:t>
            </w:r>
          </w:p>
        </w:tc>
      </w:tr>
      <w:tr>
        <w:tc>
          <w:tcPr/>
          <w:p>
            <w:r>
              <w:t>Изменение экспортных пошлин, квот или условий преференциальных режимов (GSP+)</w:t>
            </w:r>
          </w:p>
        </w:tc>
        <w:tc>
          <w:tcPr/>
          <w:p>
            <w:r>
              <w:t>Мониторинг госпрограмм поддержки экспорта (Uzexport, торговые представительства), консультации с таможенными брокерами</w:t>
            </w:r>
          </w:p>
        </w:tc>
      </w:tr>
      <w:tr>
        <w:tc>
          <w:tcPr/>
          <w:p>
            <w:r>
              <w:t>Падение экспортных цен/спроса на внешних рынках (как в начале 2026 года)</w:t>
            </w:r>
          </w:p>
        </w:tc>
        <w:tc>
          <w:tcPr/>
          <w:p>
            <w:r>
              <w:t>Диверсификация рынков сбыта, часть продукции — на внутренний рынок и в страны СНГ</w:t>
            </w:r>
          </w:p>
        </w:tc>
      </w:tr>
      <w:tr>
        <w:tc>
          <w:tcPr/>
          <w:p>
            <w:r>
              <w:t>Рост цен на энергоносители и перебои электроснабжения на производстве</w:t>
            </w:r>
          </w:p>
        </w:tc>
        <w:tc>
          <w:tcPr/>
          <w:p>
            <w:r>
              <w:t>Энергоаудит, резервное электропитание для критичных узлов, энергоэффективное оборудование</w:t>
            </w:r>
          </w:p>
        </w:tc>
      </w:tr>
      <w:tr>
        <w:tc>
          <w:tcPr/>
          <w:p>
            <w:r>
              <w:t>Задержки поставок сырья от кластера/поставщиков в пиковый сезон</w:t>
            </w:r>
          </w:p>
        </w:tc>
        <w:tc>
          <w:tcPr/>
          <w:p>
            <w:r>
              <w:t>Страховой запас сырья на 1-2 месяца, альтернативные поставщики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