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it"/>
      </w:pPr>
      <w:bookmarkStart w:id="0" w:name="it"/>
      <w:r>
        <w:t>БИЗНЕС-ПЛАН: ИНФОРМАЦИОННЫЕ ТЕХНОЛОГИИ И СВЯЗЬ (IT)</w:t>
      </w:r>
      <w:bookmarkEnd w:id="0"/>
    </w:p>
    <w:p>
      <w:r>
        <w:rPr>
          <w:rStyle w:val="CkMuted"/>
        </w:rPr>
        <w:t>Пример: IT-стартап / аутсорсинговая студия разработки</w:t>
      </w:r>
    </w:p>
    <w:p>
      <w:r>
        <w:t>Название проекта: [впишите]</w:t>
      </w:r>
      <w:r>
        <w:br/>
      </w:r>
      <w:r>
        <w:t>Автор / компания: [впишите]</w:t>
      </w:r>
      <w:r>
        <w:br/>
      </w:r>
      <w:r>
        <w:t>Регион реализации: [впишите]</w:t>
      </w:r>
      <w:r>
        <w:br/>
      </w:r>
      <w:r>
        <w:t>Требуемая сумма инвестиций, сум: [впишите]</w:t>
      </w:r>
      <w:r>
        <w:br/>
      </w:r>
      <w:r>
        <w:t>Дата: [впишите]</w:t>
      </w:r>
    </w:p>
    <w:p>
      <w:r>
        <w:rPr>
          <w:rStyle w:val="CkCaption"/>
          <w:i/>
        </w:rPr>
        <w:t>Это готовый образец (шаблон) бизнес-плана MoliyaHub для отрасли «Информационные технологии и связь (IT)». Замените текст в квадратных скобках [впишите] и примеры на данные вашего проекта, добавьте или удалите пункты по необходимости. Абзацы в рамке, отмеченные «ПРИМЕР», — иллюстрация формата ответа, а не факты о реальной компании. Финансовый план с рабочими формулами (SUM, прибыль, срок окупаемости, рентабельность) — в отдельном Excel-файле с тем же названием, который дополняет этот документ.</w:t>
      </w:r>
    </w:p>
    <w:p>
      <w:pPr>
        <w:pStyle w:val="Heading2"/>
        <ck:id v="resume"/>
      </w:pPr>
      <w:bookmarkStart w:id="1" w:name="resume"/>
      <w:r>
        <w:t>Резюме проекта</w:t>
      </w:r>
      <w:bookmarkEnd w:id="1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Студия разработки «CodeVodiy» специализируется на аутсорсинговой разработке мобильных приложений для европейских клиентов, зарегистрирована резидентом IT Park. Требуемые инвестиции — 300 млн сум на первые 3 месяца работы команды из 6 человек до выхода на устойчивый поток проектов; окупаемость — около 8 месяцев при загрузке команды на 2 параллельных проекта.</w:t>
                </w:r>
              </w:p>
            </w:tc>
          </w:tr>
        </w:tbl>
      </w:sdtContent>
    </w:sdt>
    <w:p>
      <w:r>
        <w:t>[Впишите] В 5-8 предложениях: суть проекта, какую проблему решает, для кого, требуемая сумма инвестиций и на что она пойдёт, ожидаемый результат (выручка/прибыль/срок окупаемости).</w:t>
      </w:r>
    </w:p>
    <w:p>
      <w:pPr>
        <w:pStyle w:val="Heading2"/>
        <ck:id v="company"/>
      </w:pPr>
      <w:bookmarkStart w:id="2" w:name="company"/>
      <w:r>
        <w:t>Описание компании / проекта</w:t>
      </w:r>
      <w:bookmarkEnd w:id="2"/>
    </w:p>
    <w:p>
      <w:r>
        <w:t>[Впишите] Организационно-правовая форма (ИП/ООО/фермерское хозяйство), команда, текущий статус проекта (идея / MVP / действующий бизнес), уникальное торговое предложение.</w:t>
      </w:r>
    </w:p>
    <w:p>
      <w:pPr>
        <w:pStyle w:val="Heading2"/>
        <ck:id v="market"/>
      </w:pPr>
      <w:bookmarkStart w:id="3" w:name="market"/>
      <w:r>
        <w:t>Анализ рынка: Информационные технологии и связь (IT)</w:t>
      </w:r>
      <w:bookmarkEnd w:id="3"/>
    </w:p>
    <w:p>
      <w:pPr>
        <w:pStyle w:val="ListParagraph"/>
        <w:numPr>
          <w:ilvl w:val="0"/>
          <w:numId w:val="1"/>
        </w:numPr>
      </w:pPr>
      <w:r>
        <w:t>IT Park Uzbekistan даёт резидентам налоговые льготы (в т.ч. освобождение от налога на прибыль для компаний-экспортёров с объёмом экспорта свыше $10 млн) — стоит изучить актуальные условия регистрации резидентом (uz24.uz, it-park.uz).</w:t>
      </w:r>
    </w:p>
    <w:p>
      <w:pPr>
        <w:pStyle w:val="ListParagraph"/>
        <w:numPr>
          <w:ilvl w:val="0"/>
          <w:numId w:val="1"/>
        </w:numPr>
      </w:pPr>
      <w:r>
        <w:t>Резидентская база IT Park быстро растёт: по данным Spot.uz, с начала 2025 года резидентами стали 636 новых компаний; по данным самого IT Park, только за 7 месяцев 2025 года присоединились 481 новый экспортёр и 232 иностранные компании — конкуренция за кадры и клиентов в резидентском пуле усиливается (spot.uz, it-park.uz).</w:t>
      </w:r>
    </w:p>
    <w:p>
      <w:pPr>
        <w:pStyle w:val="ListParagraph"/>
        <w:numPr>
          <w:ilvl w:val="0"/>
          <w:numId w:val="1"/>
        </w:numPr>
      </w:pPr>
      <w:r>
        <w:t>Растёт IT-экспорт из Узбекистана — аутсорсинг разработки для рынков США, ЕС и СНГ остаётся основной моделью для большинства резидентов IT Park, наряду с растущим числом продуктовых/SaaS-компаний.</w:t>
      </w:r>
    </w:p>
    <w:p>
      <w:pPr>
        <w:pStyle w:val="ListParagraph"/>
        <w:numPr>
          <w:ilvl w:val="0"/>
          <w:numId w:val="1"/>
        </w:numPr>
      </w:pPr>
      <w:r>
        <w:t>Дефицит квалифицированных разработчиков создаёт конкуренцию за кадры и давление на зарплаты в отрасли — при планировании ФОТ ориентируйтесь на текущий рынок труда, а не на данные прошлых лет.</w:t>
      </w:r>
    </w:p>
    <w:p>
      <w:pPr>
        <w:pStyle w:val="ListParagraph"/>
        <w:numPr>
          <w:ilvl w:val="0"/>
          <w:numId w:val="1"/>
        </w:numPr>
      </w:pPr>
      <w:r>
        <w:t>Для сравнения: Грузия и Армения также активно привлекают IT-компании налоговыми льготами и визовыми режимами и конкурируют с Узбекистаном за относительно мобильные команды разработки на аутсорсе — для удержания кадров важны не только зарплата, но и условия (удалёнка, релокационные пакеты, обучение).</w:t>
      </w:r>
    </w:p>
    <w:p>
      <w:pPr>
        <w:pStyle w:val="ListParagraph"/>
        <w:numPr>
          <w:ilvl w:val="0"/>
          <w:numId w:val="1"/>
        </w:numPr>
      </w:pPr>
      <w:r>
        <w:t>[Впишите] Целевую нишу (аутсорсинг/продукт/SaaS/маркетплейс), конкурентов и их ценообразование — уточняйте по отраслевым обзорам IT Park и профильным сообществам разработчиков.</w:t>
      </w:r>
    </w:p>
    <w:p>
      <w:pPr>
        <w:pStyle w:val="Heading3"/>
        <ck:id v="section"/>
      </w:pPr>
      <w:bookmarkStart w:id="4" w:name="section"/>
      <w:r>
        <w:t>Конкуренты</w:t>
      </w:r>
      <w:bookmarkEnd w:id="4"/>
    </w:p>
    <w:p>
      <w:r>
        <w:t>[Впишите] Список из 3-5 прямых конкурентов, их сильные и слабые стороны, чем вы отличаетесь.</w:t>
      </w:r>
    </w:p>
    <w:p>
      <w:pPr>
        <w:pStyle w:val="Heading3"/>
        <ck:id v="section-1"/>
      </w:pPr>
      <w:bookmarkStart w:id="5" w:name="section_1"/>
      <w:r>
        <w:t>Целевая аудитория</w:t>
      </w:r>
      <w:bookmarkEnd w:id="5"/>
    </w:p>
    <w:p>
      <w:r>
        <w:t>[Впишите] Портрет основного клиента: кто он, что для него важно при выборе, где его найти.</w:t>
      </w:r>
    </w:p>
    <w:p>
      <w:pPr>
        <w:pStyle w:val="Heading2"/>
        <ck:id v="marketing"/>
      </w:pPr>
      <w:bookmarkStart w:id="6" w:name="marketing"/>
      <w:r>
        <w:t>Маркетинговый план</w:t>
      </w:r>
      <w:bookmarkEnd w:id="6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Цена — по модели time &amp; material, на 20-30% ниже европейских студий сопоставимого уровня; продвижение — профиль на Clutch/Upwork, портфолио кейсов, партнёрство с 1-2 зарубежными IT-агентствами для субподряда на первых проектах.</w:t>
                </w:r>
              </w:p>
            </w:tc>
          </w:tr>
        </w:tbl>
      </w:sdtContent>
    </w:sdt>
    <w:p>
      <w:r>
        <w:t>[Впишите] Ценообразование, каналы продвижения и продаж, план привлечения первых клиентов.</w:t>
      </w:r>
    </w:p>
    <w:p>
      <w:pPr>
        <w:pStyle w:val="Heading2"/>
        <ck:id v="operations"/>
      </w:pPr>
      <w:bookmarkStart w:id="7" w:name="operations"/>
      <w:r>
        <w:t>Операционный план</w:t>
      </w:r>
      <w:bookmarkEnd w:id="7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Цикл: квалификация лида → оценка и коммерческое предложение → разработка спринтами (Scrum) → сдача этапов заказчику → поддержка после релиза. Ключевая инфраструктура — облачный хостинг, лицензии на инструменты разработки. Требуется регистрация резидентом IT Park для налоговых льгот.</w:t>
                </w:r>
              </w:p>
            </w:tc>
          </w:tr>
        </w:tbl>
      </w:sdtContent>
    </w:sdt>
    <w:p>
      <w:r>
        <w:t>[Впишите] Процесс производства/оказания услуги, ключевые поставщики, оборудование, необходимые лицензии и разрешения.</w:t>
      </w:r>
    </w:p>
    <w:p>
      <w:pPr>
        <w:pStyle w:val="Heading2"/>
        <ck:id v="org"/>
      </w:pPr>
      <w:bookmarkStart w:id="8" w:name="org"/>
      <w:r>
        <w:t>Организационный план</w:t>
      </w:r>
      <w:bookmarkEnd w:id="8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Тимлид-основатель, 4 разработчика, QA-инженер, менеджер проектов на part-time, бухгалтер на аутсорсе. Форма — ООО, резидент IT Park (специальный налоговый режим для IT-экспортёров).</w:t>
                </w:r>
              </w:p>
            </w:tc>
          </w:tr>
        </w:tbl>
      </w:sdtContent>
    </w:sdt>
    <w:p>
      <w:r>
        <w:t>[Впишите] Команда и роли, штатное расписание, организационно-правовая форма.</w:t>
      </w:r>
    </w:p>
    <w:p>
      <w:pPr>
        <w:pStyle w:val="Heading2"/>
        <ck:id v="risks"/>
      </w:pPr>
      <w:bookmarkStart w:id="9" w:name="risks"/>
      <w:r>
        <w:t>Риски и меры по их снижению</w:t>
      </w:r>
      <w:bookmarkEnd w:id="9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Риск</w:t>
            </w:r>
          </w:p>
        </w:tc>
        <w:tc>
          <w:tcPr/>
          <w:p>
            <w:r>
              <w:rPr>
                <w:b/>
              </w:rPr>
              <w:t>Меры снижения</w:t>
            </w:r>
          </w:p>
        </w:tc>
      </w:tr>
      <w:tr>
        <w:tc>
          <w:tcPr/>
          <w:p>
            <w:r>
              <w:t>Отток квалифицированных кадров за рубеж или к конкурентам</w:t>
            </w:r>
          </w:p>
        </w:tc>
        <w:tc>
          <w:tcPr/>
          <w:p>
            <w:r>
              <w:t>Конкурентная оплата, удалённые/гибридные условия, программы обучения и роста внутри компании</w:t>
            </w:r>
          </w:p>
        </w:tc>
      </w:tr>
      <w:tr>
        <w:tc>
          <w:tcPr/>
          <w:p>
            <w:r>
              <w:t>Зависимость от 1-2 крупных клиентов</w:t>
            </w:r>
          </w:p>
        </w:tc>
        <w:tc>
          <w:tcPr/>
          <w:p>
            <w:r>
              <w:t>Диверсификация портфеля клиентов, не более 30-40% выручки от одного заказчика</w:t>
            </w:r>
          </w:p>
        </w:tc>
      </w:tr>
      <w:tr>
        <w:tc>
          <w:tcPr/>
          <w:p>
            <w:r>
              <w:t>Валютные риски по контрактам в иностранной валюте</w:t>
            </w:r>
          </w:p>
        </w:tc>
        <w:tc>
          <w:tcPr/>
          <w:p>
            <w:r>
              <w:t>Хеджирование, привязка расчётов к валюте контракта, часть резервов в валюте</w:t>
            </w:r>
          </w:p>
        </w:tc>
      </w:tr>
      <w:tr>
        <w:tc>
          <w:tcPr/>
          <w:p>
            <w:r>
              <w:t>Изменение условий налоговых льгот IT Park</w:t>
            </w:r>
          </w:p>
        </w:tc>
        <w:tc>
          <w:tcPr/>
          <w:p>
            <w:r>
              <w:t>Мониторинг регуляторики, диверсификация юрисдикций для крупных экспортёров</w:t>
            </w:r>
          </w:p>
        </w:tc>
      </w:tr>
      <w:tr>
        <w:tc>
          <w:tcPr/>
          <w:p>
            <w:r>
              <w:t>Рост конкуренции за резидентов и клиентов внутри IT Park</w:t>
            </w:r>
          </w:p>
        </w:tc>
        <w:tc>
          <w:tcPr/>
          <w:p>
            <w:r>
              <w:t>Узкая специализация/ниша, инвестиции в портфолио и репутацию, а не только цену</w:t>
            </w:r>
          </w:p>
        </w:tc>
      </w:tr>
      <w:tr>
        <w:tc>
          <w:tcPr/>
          <w:p>
            <w:r>
              <w:t>Кибербезопасность и утечка данных клиентов</w:t>
            </w:r>
          </w:p>
        </w:tc>
        <w:tc>
          <w:tcPr/>
          <w:p>
            <w:r>
              <w:t>Политики безопасности, NDA с сотрудниками, аудит инфраструктуры</w:t>
            </w:r>
          </w:p>
        </w:tc>
      </w:tr>
    </w:tbl>
    <w:p>
      <w:r>
        <w:t>[Впишите] Дополните таблицу своими рисками, специфичными для вашего проекта и региона.</w:t>
      </w:r>
    </w:p>
    <w:sectPr>
      <ck:section v="1:||margins=1.1in,size=letter"/>
      <w:footerReference w:type="default" r:id="rIdHf1"/>
      <w:pgSz w:w="12240" w:h="15840"/>
      <w:pgMar w:top="1584" w:right="1584" w:bottom="1584" w:left="1584" w:header="720" w:footer="720" w:gutter="0"/>
    </w:sectPr>
  </w:body>
</w:document>
</file>

<file path=word/fontTable.xml><?xml version="1.0" encoding="utf-8"?>
<w:fonts xmlns:w="http://schemas.openxmlformats.org/wordprocessingml/2006/main">
  <w:font w:name="Cambria">
    <w:family w:val="roman"/>
  </w:font>
  <w:font w:name="Consolas">
    <w:family w:val="modern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sdt>
    <w:sdtPr>
      <w:tag w:val="clarkdown:div"/>
      <ck:div v="||text-align=center"/>
    </w:sdtPr>
    <w:sdtContent>
      <w:p>
        <w:pPr>
          <w:jc w:val="center"/>
        </w:pPr>
        <w:r>
          <w:t xml:space="preserve">MoliyaHub · </w:t>
        </w:r>
        <w:fldSimple w:instr="PAGE">
          <w:r>
            <w:t>1</w:t>
          </w:r>
        </w:fldSimple>
      </w:p>
    </w:sdtContent>
  </w:sdt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cs="Cambria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mbria" w:hAnsi="Cambria"/>
      <w:b/>
      <w:color w:val="1A1A1A"/>
      <w:sz w:val="38"/>
      <w:szCs w:val="38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mbria" w:hAnsi="Cambria"/>
      <w:b/>
      <w:sz w:val="32"/>
      <w:szCs w:val="32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mbria" w:hAnsi="Cambria"/>
      <w:b/>
      <w:sz w:val="26"/>
      <w:szCs w:val="26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mbria" w:hAnsi="Cambria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mbria" w:hAnsi="Cambria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mbria" w:hAnsi="Cambria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sz w:val="46"/>
      <w:szCs w:val="46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Hf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{"kv":{"theme":"serif"},"v":1}</vt:lpwstr>
  </property>
</Properties>
</file>