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body>
    <w:p>
      <w:pPr>
        <w:pStyle w:val="Title"/>
        <ck:id v="section"/>
      </w:pPr>
      <w:bookmarkStart w:id="0" w:name="section"/>
      <w:r>
        <w:t>БИЗНЕС-ПЛАН: СФЕРА УСЛУГ, ТРАНСПОРТ И ЛОГИСТИКА</w:t>
      </w:r>
      <w:bookmarkEnd w:id="0"/>
    </w:p>
    <w:p>
      <w:r>
        <w:rPr>
          <w:rStyle w:val="CkMuted"/>
        </w:rPr>
        <w:t>Пример: транспортно-логистическая компания / складская логистика</w:t>
      </w:r>
    </w:p>
    <w:p>
      <w:r>
        <w:t>Название проекта: [впишите]</w:t>
      </w:r>
      <w:r>
        <w:br/>
      </w:r>
      <w:r>
        <w:t>Автор / компания: [впишите]</w:t>
      </w:r>
      <w:r>
        <w:br/>
      </w:r>
      <w:r>
        <w:t>Регион реализации: [впишите]</w:t>
      </w:r>
      <w:r>
        <w:br/>
      </w:r>
      <w:r>
        <w:t>Требуемая сумма инвестиций, сум: [впишите]</w:t>
      </w:r>
      <w:r>
        <w:br/>
      </w:r>
      <w:r>
        <w:t>Дата: [впишите]</w:t>
      </w:r>
    </w:p>
    <w:p>
      <w:r>
        <w:rPr>
          <w:rStyle w:val="CkCaption"/>
          <w:i/>
        </w:rPr>
        <w:t>Это готовый образец (шаблон) бизнес-плана MoliyaHub для отрасли «Сфера услуг, транспорт и логистика». Замените текст в квадратных скобках [впишите] и примеры на данные вашего проекта, добавьте или удалите пункты по необходимости. Абзацы в рамке, отмеченные «ПРИМЕР», — иллюстрация формата ответа, а не факты о реальной компании. Финансовый план с рабочими формулами (SUM, прибыль, срок окупаемости, рентабельность) — в отдельном Excel-файле с тем же названием, который дополняет этот документ.</w:t>
      </w:r>
    </w:p>
    <w:p>
      <w:pPr>
        <w:pStyle w:val="Heading2"/>
        <ck:id v="resume"/>
      </w:pPr>
      <w:bookmarkStart w:id="1" w:name="resume"/>
      <w:r>
        <w:t>Резюме проекта</w:t>
      </w:r>
      <w:bookmarkEnd w:id="1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ООО «TezYetkaz Logistics» строит мини-склад класса «А» с холодильной камерой на 1500 паллето-мест рядом с оптовым рынком в Ташкентской области для обслуживания продавцов маркетплейсов и агроэкспортёров. Требуемые инвестиции — 1,8 млрд сум; окупаемость — около 30 месяцев за счёт долгосрочных контрактов с 3 продавцами маркетплейсов на старте.</w:t>
                </w:r>
              </w:p>
            </w:tc>
          </w:tr>
        </w:tbl>
      </w:sdtContent>
    </w:sdt>
    <w:p>
      <w:r>
        <w:t>[Впишите] В 5-8 предложениях: суть проекта, какую проблему решает, для кого, требуемая сумма инвестиций и на что она пойдёт, ожидаемый результат (выручка/прибыль/срок окупаемости).</w:t>
      </w:r>
    </w:p>
    <w:p>
      <w:pPr>
        <w:pStyle w:val="Heading2"/>
        <ck:id v="company"/>
      </w:pPr>
      <w:bookmarkStart w:id="2" w:name="company"/>
      <w:r>
        <w:t>Описание компании / проекта</w:t>
      </w:r>
      <w:bookmarkEnd w:id="2"/>
    </w:p>
    <w:p>
      <w:r>
        <w:t>[Впишите] Организационно-правовая форма (ИП/ООО/фермерское хозяйство), команда, текущий статус проекта (идея / MVP / действующий бизнес), уникальное торговое предложение.</w:t>
      </w:r>
    </w:p>
    <w:p>
      <w:pPr>
        <w:pStyle w:val="Heading2"/>
        <ck:id v="market"/>
      </w:pPr>
      <w:bookmarkStart w:id="3" w:name="market"/>
      <w:r>
        <w:t>Анализ рынка: Сфера услуг, транспорт и логистика</w:t>
      </w:r>
      <w:bookmarkEnd w:id="3"/>
    </w:p>
    <w:p>
      <w:pPr>
        <w:pStyle w:val="ListParagraph"/>
        <w:numPr>
          <w:ilvl w:val="0"/>
          <w:numId w:val="1"/>
        </w:numPr>
      </w:pPr>
      <w:r>
        <w:t>Узбекистан стремится закрепить роль транзитного логистического хаба Центральной Азии: по данным Минтранса, страна нацелена стать «настоящим транзитным хабом» на маршрутах Китай — Центральная Азия — Европа/Южная Азия и готовит сеть новых логистических хабов (gazeta.uz).</w:t>
      </w:r>
    </w:p>
    <w:p>
      <w:pPr>
        <w:pStyle w:val="ListParagraph"/>
        <w:numPr>
          <w:ilvl w:val="0"/>
          <w:numId w:val="1"/>
        </w:numPr>
      </w:pPr>
      <w:r>
        <w:t>При этом по данным отраслевого разбора Spot.uz, на середину 2026 года Узбекистан получает лишь около 1-2% от общего китайско-европейского транзита, хотя в 2025 году достиг рекордного показателя в 15,3 млн тонн грузов — потенциал роста большой, но конкуренция за транзитные потоки с Казахстаном высокая (spot.uz).</w:t>
      </w:r>
    </w:p>
    <w:p>
      <w:pPr>
        <w:pStyle w:val="ListParagraph"/>
        <w:numPr>
          <w:ilvl w:val="0"/>
          <w:numId w:val="1"/>
        </w:numPr>
      </w:pPr>
      <w:r>
        <w:t>Ключевой структурный дефицит рынка — склады: из 27 логистических центров международного уровня (совокупная мощность 27,2 млн тонн) лишь один относится к высшей категории; автоматизированные склады класса «А» закрывают только 10-15% спроса, ощущается явный дефицит холодильных и таможенных складов (spot.uz) — это прямая ниша для нового бизнеса, а не только для крупных игроков.</w:t>
      </w:r>
    </w:p>
    <w:p>
      <w:pPr>
        <w:pStyle w:val="ListParagraph"/>
        <w:numPr>
          <w:ilvl w:val="0"/>
          <w:numId w:val="1"/>
        </w:numPr>
      </w:pPr>
      <w:r>
        <w:t>Логистическая инфраструктура сильно сконцентрирована в Ташкенте и области — в регионах ощущается нехватка современных складских и грузовых терминалов, что создаёт возможности для регионального игрока при наличии капитала на инфраструктуру.</w:t>
      </w:r>
    </w:p>
    <w:p>
      <w:pPr>
        <w:pStyle w:val="ListParagraph"/>
        <w:numPr>
          <w:ilvl w:val="0"/>
          <w:numId w:val="1"/>
        </w:numPr>
      </w:pPr>
      <w:r>
        <w:t>Растёт спрос на холодильную логистику для агроэкспорта (плодоовощная продукция, требующая холодной цепи) и на складские услуги для e-commerce и маркетплейсов (Uzum Market и др.) — это два наиболее быстрорастущих сегмента внутри логистики на ближайшие годы.</w:t>
      </w:r>
    </w:p>
    <w:p>
      <w:pPr>
        <w:pStyle w:val="ListParagraph"/>
        <w:numPr>
          <w:ilvl w:val="0"/>
          <w:numId w:val="1"/>
        </w:numPr>
      </w:pPr>
      <w:r>
        <w:t>Для сравнения: Казахстан располагает более развитой сетью сухих портов и жд-инфраструктурой на маршруте Китай — Европа и исторически перехватывает большую долю транзита; конкурентное преимущество Узбекистана — географическое положение на альтернативных южных маршрутах (через Афганистан/Пакистан/Иран) и более низкая стоимость рабочей силы.</w:t>
      </w:r>
    </w:p>
    <w:p>
      <w:pPr>
        <w:pStyle w:val="ListParagraph"/>
        <w:numPr>
          <w:ilvl w:val="0"/>
          <w:numId w:val="1"/>
        </w:numPr>
      </w:pPr>
      <w:r>
        <w:t>[Впишите] Конкретный сегмент (грузоперевозки/склад/холодильная логистика/экспедирование), объём спроса и тарифы в вашем регионе — уточняйте у отраслевых ассоциаций и в статистике Минтранса.</w:t>
      </w:r>
    </w:p>
    <w:p>
      <w:pPr>
        <w:pStyle w:val="Heading3"/>
        <ck:id v="section-1"/>
      </w:pPr>
      <w:bookmarkStart w:id="4" w:name="section_1"/>
      <w:r>
        <w:t>Конкуренты</w:t>
      </w:r>
      <w:bookmarkEnd w:id="4"/>
    </w:p>
    <w:p>
      <w:r>
        <w:t>[Впишите] Список из 3-5 прямых конкурентов, их сильные и слабые стороны, чем вы отличаетесь.</w:t>
      </w:r>
    </w:p>
    <w:p>
      <w:pPr>
        <w:pStyle w:val="Heading3"/>
        <ck:id v="section-2"/>
      </w:pPr>
      <w:bookmarkStart w:id="5" w:name="section_2"/>
      <w:r>
        <w:t>Целевая аудитория</w:t>
      </w:r>
      <w:bookmarkEnd w:id="5"/>
    </w:p>
    <w:p>
      <w:r>
        <w:t>[Впишите] Портрет основного клиента: кто он, что для него важно при выборе, где его найти.</w:t>
      </w:r>
    </w:p>
    <w:p>
      <w:pPr>
        <w:pStyle w:val="Heading2"/>
        <ck:id v="marketing"/>
      </w:pPr>
      <w:bookmarkStart w:id="6" w:name="marketing"/>
      <w:r>
        <w:t>Маркетинговый план</w:t>
      </w:r>
      <w:bookmarkEnd w:id="6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Цена — за паллето-место в месяц и за обработку заказа, на уровне рыночной с наценкой за холодильную камеру; продвижение — прямые переговоры с продавцами Uzum Market и агроэкспортёрами, участие в логистических ассоциациях, первые клиенты — через личные контакты владельца в отрасли.</w:t>
                </w:r>
              </w:p>
            </w:tc>
          </w:tr>
        </w:tbl>
      </w:sdtContent>
    </w:sdt>
    <w:p>
      <w:r>
        <w:t>[Впишите] Ценообразование, каналы продвижения и продаж, план привлечения первых клиентов.</w:t>
      </w:r>
    </w:p>
    <w:p>
      <w:pPr>
        <w:pStyle w:val="Heading2"/>
        <ck:id v="operations"/>
      </w:pPr>
      <w:bookmarkStart w:id="7" w:name="operations"/>
      <w:r>
        <w:t>Операционный план</w:t>
      </w:r>
      <w:bookmarkEnd w:id="7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Цикл: приём груза → размещение на складе (в т.ч. в холодильной камере) → учёт в WMS-системе → комплектация заказа → отгрузка транспортом клиента или партнёра-перевозчика. Требуется регистрация склада временного хранения при работе с таможенными грузами.</w:t>
                </w:r>
              </w:p>
            </w:tc>
          </w:tr>
        </w:tbl>
      </w:sdtContent>
    </w:sdt>
    <w:p>
      <w:r>
        <w:t>[Впишите] Процесс производства/оказания услуги, ключевые поставщики, оборудование, необходимые лицензии и разрешения.</w:t>
      </w:r>
    </w:p>
    <w:p>
      <w:pPr>
        <w:pStyle w:val="Heading2"/>
        <ck:id v="org"/>
      </w:pPr>
      <w:bookmarkStart w:id="8" w:name="org"/>
      <w:r>
        <w:t>Организационный план</w:t>
      </w:r>
      <w:bookmarkEnd w:id="8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Директор, менеджер по продажам, кладовщик-оператор WMS, 3 грузчика, охрана на аутсорсе. Форма — ООО, общий налоговый режим (при значительной выручке).</w:t>
                </w:r>
              </w:p>
            </w:tc>
          </w:tr>
        </w:tbl>
      </w:sdtContent>
    </w:sdt>
    <w:p>
      <w:r>
        <w:t>[Впишите] Команда и роли, штатное расписание, организационно-правовая форма.</w:t>
      </w:r>
    </w:p>
    <w:p>
      <w:pPr>
        <w:pStyle w:val="Heading2"/>
        <ck:id v="risks"/>
      </w:pPr>
      <w:bookmarkStart w:id="9" w:name="risks"/>
      <w:r>
        <w:t>Риски и меры по их снижению</w:t>
      </w:r>
      <w:bookmarkEnd w:id="9"/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Риск</w:t>
            </w:r>
          </w:p>
        </w:tc>
        <w:tc>
          <w:tcPr/>
          <w:p>
            <w:r>
              <w:rPr>
                <w:b/>
              </w:rPr>
              <w:t>Меры снижения</w:t>
            </w:r>
          </w:p>
        </w:tc>
      </w:tr>
      <w:tr>
        <w:tc>
          <w:tcPr/>
          <w:p>
            <w:r>
              <w:t>Рост цен на топливо и запчасти для техники</w:t>
            </w:r>
          </w:p>
        </w:tc>
        <w:tc>
          <w:tcPr/>
          <w:p>
            <w:r>
              <w:t>Топливные карты, оптимизация маршрутов, плановое ТО для снижения простоев</w:t>
            </w:r>
          </w:p>
        </w:tc>
      </w:tr>
      <w:tr>
        <w:tc>
          <w:tcPr/>
          <w:p>
            <w:r>
              <w:t>Простой техники/склада при недозагрузке</w:t>
            </w:r>
          </w:p>
        </w:tc>
        <w:tc>
          <w:tcPr/>
          <w:p>
            <w:r>
              <w:t>Долгосрочные контракты-якоря с 2-3 крупными клиентами на старте, гибкие тарифы под сезонность</w:t>
            </w:r>
          </w:p>
        </w:tc>
      </w:tr>
      <w:tr>
        <w:tc>
          <w:tcPr/>
          <w:p>
            <w:r>
              <w:t>Изменение таможенных правил и процедур на границе</w:t>
            </w:r>
          </w:p>
        </w:tc>
        <w:tc>
          <w:tcPr/>
          <w:p>
            <w:r>
              <w:t>Мониторинг регуляторики, работа с лицензированными таможенными брокерами</w:t>
            </w:r>
          </w:p>
        </w:tc>
      </w:tr>
      <w:tr>
        <w:tc>
          <w:tcPr/>
          <w:p>
            <w:r>
              <w:t>Низкая пропускная способность пограничных/таможенных пунктов</w:t>
            </w:r>
          </w:p>
        </w:tc>
        <w:tc>
          <w:tcPr/>
          <w:p>
            <w:r>
              <w:t>Резервные маршруты и пункты пропуска, заблаговременное оформление документов</w:t>
            </w:r>
          </w:p>
        </w:tc>
      </w:tr>
      <w:tr>
        <w:tc>
          <w:tcPr/>
          <w:p>
            <w:r>
              <w:t>Порча скоропортящегося груза при сбое холодильной цепи</w:t>
            </w:r>
          </w:p>
        </w:tc>
        <w:tc>
          <w:tcPr/>
          <w:p>
            <w:r>
              <w:t>Резервное электропитание для холодильных камер, страхование груза, мониторинг температуры</w:t>
            </w:r>
          </w:p>
        </w:tc>
      </w:tr>
      <w:tr>
        <w:tc>
          <w:tcPr/>
          <w:p>
            <w:r>
              <w:t>Дефицит квалифицированных водителей и складского персонала</w:t>
            </w:r>
          </w:p>
        </w:tc>
        <w:tc>
          <w:tcPr/>
          <w:p>
            <w:r>
              <w:t>Конкурентная оплата труда, обучение на месте, партнёрство с автотранспортными колледжами</w:t>
            </w:r>
          </w:p>
        </w:tc>
      </w:tr>
    </w:tbl>
    <w:p>
      <w:r>
        <w:t>[Впишите] Дополните таблицу своими рисками, специфичными для вашего проекта и региона.</w:t>
      </w:r>
    </w:p>
    <w:sectPr>
      <ck:section v="1:||margins=1.1in,size=letter"/>
      <w:footerReference w:type="default" r:id="rIdHf1"/>
      <w:pgSz w:w="12240" w:h="15840"/>
      <w:pgMar w:top="1584" w:right="1584" w:bottom="1584" w:left="1584" w:header="720" w:footer="720" w:gutter="0"/>
    </w:sectPr>
  </w:body>
</w:document>
</file>

<file path=word/fontTable.xml><?xml version="1.0" encoding="utf-8"?>
<w:fonts xmlns:w="http://schemas.openxmlformats.org/wordprocessingml/2006/main">
  <w:font w:name="Cambria">
    <w:family w:val="roman"/>
  </w:font>
  <w:font w:name="Consolas">
    <w:family w:val="modern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sdt>
    <w:sdtPr>
      <w:tag w:val="clarkdown:div"/>
      <ck:div v="||text-align=center"/>
    </w:sdtPr>
    <w:sdtContent>
      <w:p>
        <w:pPr>
          <w:jc w:val="center"/>
        </w:pPr>
        <w:r>
          <w:t xml:space="preserve">MoliyaHub · </w:t>
        </w:r>
        <w:fldSimple w:instr="PAGE">
          <w:r>
            <w:t>1</w:t>
          </w:r>
        </w:fldSimple>
      </w:p>
    </w:sdtContent>
  </w:sdt>
</w:ft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2."/>
      <w:lvlJc w:val="left"/>
      <w:pPr>
        <w:ind w:left="3600" w:hanging="360"/>
      </w:pPr>
    </w:lvl>
    <w:lvl w:ilvl="5">
      <w:start w:val="1"/>
      <w:numFmt w:val="decimal"/>
      <w:lvlText w:val="%3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2."/>
      <w:lvlJc w:val="left"/>
      <w:pPr>
        <w:ind w:left="5760" w:hanging="360"/>
      </w:pPr>
    </w:lvl>
    <w:lvl w:ilvl="8">
      <w:start w:val="1"/>
      <w:numFmt w:val="decimal"/>
      <w:lvlText w:val="%3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☐"/>
      <w:lvlJc w:val="left"/>
      <w:pPr>
        <w:ind w:left="720" w:hanging="360"/>
      </w:pPr>
    </w:lvl>
    <w:lvl w:ilvl="1">
      <w:start w:val="1"/>
      <w:numFmt w:val="bullet"/>
      <w:lvlText w:val="☐"/>
      <w:lvlJc w:val="left"/>
      <w:pPr>
        <w:ind w:left="1440" w:hanging="360"/>
      </w:pPr>
    </w:lvl>
    <w:lvl w:ilvl="2">
      <w:start w:val="1"/>
      <w:numFmt w:val="bullet"/>
      <w:lvlText w:val="☐"/>
      <w:lvlJc w:val="left"/>
      <w:pPr>
        <w:ind w:left="2160" w:hanging="360"/>
      </w:pPr>
    </w:lvl>
    <w:lvl w:ilvl="3">
      <w:start w:val="1"/>
      <w:numFmt w:val="bullet"/>
      <w:lvlText w:val="☐"/>
      <w:lvlJc w:val="left"/>
      <w:pPr>
        <w:ind w:left="2880" w:hanging="360"/>
      </w:pPr>
    </w:lvl>
    <w:lvl w:ilvl="4">
      <w:start w:val="1"/>
      <w:numFmt w:val="bullet"/>
      <w:lvlText w:val="☐"/>
      <w:lvlJc w:val="left"/>
      <w:pPr>
        <w:ind w:left="3600" w:hanging="360"/>
      </w:pPr>
    </w:lvl>
    <w:lvl w:ilvl="5">
      <w:start w:val="1"/>
      <w:numFmt w:val="bullet"/>
      <w:lvlText w:val="☐"/>
      <w:lvlJc w:val="left"/>
      <w:pPr>
        <w:ind w:left="4320" w:hanging="360"/>
      </w:pPr>
    </w:lvl>
    <w:lvl w:ilvl="6">
      <w:start w:val="1"/>
      <w:numFmt w:val="bullet"/>
      <w:lvlText w:val="☐"/>
      <w:lvlJc w:val="left"/>
      <w:pPr>
        <w:ind w:left="5040" w:hanging="360"/>
      </w:pPr>
    </w:lvl>
    <w:lvl w:ilvl="7">
      <w:start w:val="1"/>
      <w:numFmt w:val="bullet"/>
      <w:lvlText w:val="☐"/>
      <w:lvlJc w:val="left"/>
      <w:pPr>
        <w:ind w:left="5760" w:hanging="360"/>
      </w:pPr>
    </w:lvl>
    <w:lvl w:ilvl="8">
      <w:start w:val="1"/>
      <w:numFmt w:val="bullet"/>
      <w:lvlText w:val="☐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☑"/>
      <w:lvlJc w:val="left"/>
      <w:pPr>
        <w:ind w:left="720" w:hanging="360"/>
      </w:pPr>
    </w:lvl>
    <w:lvl w:ilvl="1">
      <w:start w:val="1"/>
      <w:numFmt w:val="bullet"/>
      <w:lvlText w:val="☑"/>
      <w:lvlJc w:val="left"/>
      <w:pPr>
        <w:ind w:left="1440" w:hanging="360"/>
      </w:pPr>
    </w:lvl>
    <w:lvl w:ilvl="2">
      <w:start w:val="1"/>
      <w:numFmt w:val="bullet"/>
      <w:lvlText w:val="☑"/>
      <w:lvlJc w:val="left"/>
      <w:pPr>
        <w:ind w:left="2160" w:hanging="360"/>
      </w:pPr>
    </w:lvl>
    <w:lvl w:ilvl="3">
      <w:start w:val="1"/>
      <w:numFmt w:val="bullet"/>
      <w:lvlText w:val="☑"/>
      <w:lvlJc w:val="left"/>
      <w:pPr>
        <w:ind w:left="2880" w:hanging="360"/>
      </w:pPr>
    </w:lvl>
    <w:lvl w:ilvl="4">
      <w:start w:val="1"/>
      <w:numFmt w:val="bullet"/>
      <w:lvlText w:val="☑"/>
      <w:lvlJc w:val="left"/>
      <w:pPr>
        <w:ind w:left="3600" w:hanging="360"/>
      </w:pPr>
    </w:lvl>
    <w:lvl w:ilvl="5">
      <w:start w:val="1"/>
      <w:numFmt w:val="bullet"/>
      <w:lvlText w:val="☑"/>
      <w:lvlJc w:val="left"/>
      <w:pPr>
        <w:ind w:left="4320" w:hanging="360"/>
      </w:pPr>
    </w:lvl>
    <w:lvl w:ilvl="6">
      <w:start w:val="1"/>
      <w:numFmt w:val="bullet"/>
      <w:lvlText w:val="☑"/>
      <w:lvlJc w:val="left"/>
      <w:pPr>
        <w:ind w:left="5040" w:hanging="360"/>
      </w:pPr>
    </w:lvl>
    <w:lvl w:ilvl="7">
      <w:start w:val="1"/>
      <w:numFmt w:val="bullet"/>
      <w:lvlText w:val="☑"/>
      <w:lvlJc w:val="left"/>
      <w:pPr>
        <w:ind w:left="5760" w:hanging="360"/>
      </w:pPr>
    </w:lvl>
    <w:lvl w:ilvl="8">
      <w:start w:val="1"/>
      <w:numFmt w:val="bullet"/>
      <w:lvlText w:val="☑"/>
      <w:lvlJc w:val="left"/>
      <w:pPr>
        <w:ind w:left="648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cs="Cambria"/>
        <w:sz w:val="22"/>
        <w:szCs w:val="22"/>
        <w:lang w:val="en-US"/>
      </w:rPr>
    </w:rPrDefault>
    <w:pPrDefault>
      <w:pPr>
        <w:spacing w:after="160" w:line="312" w:lineRule="auto"/>
      </w:pPr>
    </w:pPrDefault>
  </w:docDefaults>
  <w:style w:type="paragraph" w:styleId="Normal" w:default="1">
    <w:name w:val="Normal"/>
  </w:style>
  <w:style w:type="paragraph" w:styleId="Heading1" w:default="0">
    <w:name w:val="heading 1"/>
    <w:basedOn w:val="Normal"/>
    <w:next w:val="Normal"/>
    <w:pPr>
      <w:keepNext/>
      <w:keepLines/>
      <w:spacing w:before="320" w:line="264" w:lineRule="auto"/>
      <w:outlineLvl w:val="0"/>
    </w:pPr>
    <w:rPr>
      <w:rFonts w:ascii="Cambria" w:hAnsi="Cambria"/>
      <w:b/>
      <w:color w:val="1A1A1A"/>
      <w:sz w:val="38"/>
      <w:szCs w:val="38"/>
    </w:rPr>
  </w:style>
  <w:style w:type="paragraph" w:styleId="Heading2" w:default="0">
    <w:name w:val="heading 2"/>
    <w:basedOn w:val="Normal"/>
    <w:next w:val="Normal"/>
    <w:pPr>
      <w:keepNext/>
      <w:keepLines/>
      <w:spacing w:before="320" w:line="264" w:lineRule="auto"/>
      <w:outlineLvl w:val="1"/>
    </w:pPr>
    <w:rPr>
      <w:rFonts w:ascii="Cambria" w:hAnsi="Cambria"/>
      <w:b/>
      <w:sz w:val="32"/>
      <w:szCs w:val="32"/>
    </w:rPr>
  </w:style>
  <w:style w:type="paragraph" w:styleId="Heading3" w:default="0">
    <w:name w:val="heading 3"/>
    <w:basedOn w:val="Normal"/>
    <w:next w:val="Normal"/>
    <w:pPr>
      <w:keepNext/>
      <w:keepLines/>
      <w:spacing w:before="160" w:line="264" w:lineRule="auto"/>
      <w:outlineLvl w:val="2"/>
    </w:pPr>
    <w:rPr>
      <w:rFonts w:ascii="Cambria" w:hAnsi="Cambria"/>
      <w:b/>
      <w:sz w:val="26"/>
      <w:szCs w:val="26"/>
    </w:rPr>
  </w:style>
  <w:style w:type="paragraph" w:styleId="Heading4" w:default="0">
    <w:name w:val="heading 4"/>
    <w:basedOn w:val="Normal"/>
    <w:next w:val="Normal"/>
    <w:pPr>
      <w:keepNext/>
      <w:keepLines/>
      <w:spacing w:before="160" w:line="264" w:lineRule="auto"/>
      <w:outlineLvl w:val="3"/>
    </w:pPr>
    <w:rPr>
      <w:rFonts w:ascii="Cambria" w:hAnsi="Cambria"/>
      <w:b/>
      <w:sz w:val="22"/>
      <w:szCs w:val="22"/>
    </w:rPr>
  </w:style>
  <w:style w:type="paragraph" w:styleId="Heading5" w:default="0">
    <w:name w:val="heading 5"/>
    <w:basedOn w:val="Normal"/>
    <w:next w:val="Normal"/>
    <w:pPr>
      <w:keepNext/>
      <w:keepLines/>
      <w:spacing w:before="160" w:line="264" w:lineRule="auto"/>
      <w:outlineLvl w:val="4"/>
    </w:pPr>
    <w:rPr>
      <w:rFonts w:ascii="Cambria" w:hAnsi="Cambria"/>
      <w:b/>
      <w:sz w:val="22"/>
      <w:szCs w:val="22"/>
    </w:rPr>
  </w:style>
  <w:style w:type="paragraph" w:styleId="Heading6" w:default="0">
    <w:name w:val="heading 6"/>
    <w:basedOn w:val="Normal"/>
    <w:next w:val="Normal"/>
    <w:pPr>
      <w:keepNext/>
      <w:keepLines/>
      <w:spacing w:before="160" w:line="264" w:lineRule="auto"/>
      <w:outlineLvl w:val="5"/>
    </w:pPr>
    <w:rPr>
      <w:rFonts w:ascii="Cambria" w:hAnsi="Cambria"/>
      <w:b/>
      <w:sz w:val="22"/>
      <w:szCs w:val="22"/>
    </w:rPr>
  </w:style>
  <w:style w:type="paragraph" w:styleId="Quote" w:default="0">
    <w:name w:val="Quote"/>
    <w:basedOn w:val="Normal"/>
    <w:pPr>
      <w:ind w:left="320"/>
      <w:pBdr>
        <w:left w:val="single" w:sz="24" w:space="12" w:color="BFBFBF"/>
      </w:pBdr>
    </w:pPr>
    <w:rPr>
      <w:i/>
      <w:color w:val="595959"/>
    </w:rPr>
  </w:style>
  <w:style w:type="character" w:styleId="CkHighlight">
    <w:name w:val="Clarkdown Highlight"/>
    <w:rPr>
      <w:shd w:val="clear" w:fill="FFF2A8"/>
    </w:rPr>
  </w:style>
  <w:style w:type="character" w:styleId="CkSmallcaps">
    <w:name w:val="Clarkdown Smallcaps"/>
    <w:rPr>
      <w:smallCaps/>
    </w:rPr>
  </w:style>
  <w:style w:type="character" w:styleId="CkUnderline">
    <w:name w:val="Clarkdown Underline"/>
    <w:rPr>
      <w:u w:val="single"/>
    </w:rPr>
  </w:style>
  <w:style w:type="character" w:styleId="CkMuted">
    <w:name w:val="Clarkdown Muted"/>
    <w:rPr>
      <w:color w:val="595959"/>
    </w:rPr>
  </w:style>
  <w:style w:type="character" w:styleId="CkAccent">
    <w:name w:val="Clarkdown Accent"/>
    <w:rPr>
      <w:color w:val="1A1A1A"/>
    </w:rPr>
  </w:style>
  <w:style w:type="character" w:styleId="CkCaption">
    <w:name w:val="Clarkdown Caption"/>
    <w:rPr>
      <w:i/>
      <w:color w:val="595959"/>
      <w:sz w:val="20"/>
      <w:szCs w:val="20"/>
    </w:rPr>
  </w:style>
  <w:style w:type="paragraph" w:styleId="CkDisplay" w:default="0">
    <w:name w:val="Clarkdown Display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color w:val="1A1A1A"/>
      <w:sz w:val="132"/>
      <w:szCs w:val="132"/>
    </w:rPr>
  </w:style>
  <w:style w:type="character" w:styleId="CkKicker">
    <w:name w:val="Clarkdown Kicker"/>
    <w:rPr>
      <w:smallCaps/>
      <w:spacing w:val="18"/>
      <w:color w:val="595959"/>
    </w:rPr>
  </w:style>
  <w:style w:type="paragraph" w:styleId="CkTrackedCaps" w:default="0">
    <w:name w:val="Clarkdown Tracked Caps"/>
    <w:basedOn w:val="Normal"/>
    <w:next w:val="Normal"/>
    <w:rPr>
      <w:smallCaps/>
      <w:spacing w:val="18"/>
    </w:rPr>
  </w:style>
  <w:style w:type="paragraph" w:styleId="Title" w:default="0">
    <w:name w:val="Title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sz w:val="46"/>
      <w:szCs w:val="46"/>
    </w:rPr>
  </w:style>
  <w:style w:type="character" w:styleId="Hyperlink">
    <w:name w:val="Hyperlink"/>
    <w:rPr>
      <w:color w:val="1A1A1A"/>
      <w:u w:val="single"/>
    </w:rPr>
  </w:style>
  <w:style w:type="paragraph" w:styleId="CkCodeBlock" w:default="0">
    <w:name w:val="Clarkdown Code Block"/>
    <w:basedOn w:val="Normal"/>
    <w:pPr>
      <w:shd w:val="clear" w:fill="EDEDED"/>
      <w:spacing w:after="0" w:line="240" w:lineRule="auto"/>
    </w:pPr>
    <w:rPr>
      <w:rFonts w:ascii="Consolas" w:hAnsi="Consolas"/>
      <w:noProof/>
      <w:sz w:val="20"/>
    </w:rPr>
  </w:style>
  <w:style w:type="character" w:styleId="CkCode">
    <w:name w:val="Clarkdown Code"/>
    <w:rPr>
      <w:rFonts w:ascii="Consolas" w:hAnsi="Consolas"/>
      <w:shd w:val="clear" w:fill="EDEDED"/>
      <w:sz w:val="20"/>
    </w:rPr>
  </w:style>
  <w:style w:type="paragraph" w:styleId="Caption" w:default="0">
    <w:name w:val="caption"/>
    <w:basedOn w:val="Normal"/>
    <w:rPr>
      <w:i/>
      <w:sz w:val="18"/>
    </w:rPr>
  </w:style>
  <w:style w:type="paragraph" w:styleId="ListParagraph" w:default="0">
    <w:name w:val="List Paragraph"/>
    <w:basedOn w:val="Normal"/>
    <w:pPr>
      <w:ind w:left="320"/>
    </w:pPr>
  </w:style>
  <w:style w:type="paragraph" w:styleId="CkUnknown" w:default="0">
    <w:name w:val="Clarkdown Unknown"/>
    <w:basedOn w:val="Normal"/>
    <w:pPr>
      <w:shd w:val="clear" w:fill="FFEEEE"/>
    </w:pPr>
  </w:style>
  <w:style w:type="paragraph" w:styleId="FootnoteText" w:default="0">
    <w:name w:val="footnote text"/>
    <w:basedOn w:val="Normal"/>
    <w:rPr>
      <w:sz w:val="18"/>
    </w:rPr>
  </w:style>
  <w:style w:type="character" w:styleId="FootnoteReference">
    <w:name w:val="footnote reference"/>
    <w:rPr>
      <w:vertAlign w:val="superscript"/>
    </w:rPr>
  </w:style>
  <w:style w:type="table" w:styleId="CkTable">
    <w:name w:val="Clarkdown Table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table" w:styleId="CkLayout">
    <w:name w:val="Clarkdown Layout"/>
    <w:tblPr>
      <w:tblBorders>
        <w:top w:val="none"/>
        <w:left w:val="none"/>
        <w:bottom w:val="none"/>
        <w:right w:val="none"/>
        <w:insideH w:val="none"/>
        <w:insideV w:val="none"/>
      </w:tblBorders>
    </w:tblPr>
  </w:style>
  <w:style w:type="paragraph" w:styleId="CkNote" w:default="0">
    <w:name w:val="Clarkdown Note"/>
    <w:basedOn w:val="Normal"/>
    <w:pPr>
      <w:pBdr>
        <w:left w:val="single" w:sz="24" w:space="8" w:color="2F6FEB"/>
      </w:pBdr>
      <w:ind w:left="240"/>
    </w:pPr>
  </w:style>
  <w:style w:type="paragraph" w:styleId="CkTip" w:default="0">
    <w:name w:val="Clarkdown Tip"/>
    <w:basedOn w:val="Normal"/>
    <w:pPr>
      <w:pBdr>
        <w:left w:val="single" w:sz="24" w:space="8" w:color="1A7F37"/>
      </w:pBdr>
      <w:ind w:left="240"/>
    </w:pPr>
  </w:style>
  <w:style w:type="paragraph" w:styleId="CkWarning" w:default="0">
    <w:name w:val="Clarkdown Warning"/>
    <w:basedOn w:val="Normal"/>
    <w:pPr>
      <w:pBdr>
        <w:left w:val="single" w:sz="24" w:space="8" w:color="9A6700"/>
      </w:pBdr>
      <w:ind w:left="240"/>
    </w:pPr>
  </w:style>
  <w:style w:type="paragraph" w:styleId="CkImportant" w:default="0">
    <w:name w:val="Clarkdown Important"/>
    <w:basedOn w:val="Normal"/>
    <w:pPr>
      <w:pBdr>
        <w:left w:val="single" w:sz="24" w:space="8" w:color="8250DF"/>
      </w:pBdr>
      <w:ind w:left="240"/>
    </w:pPr>
  </w:style>
  <w:style w:type="paragraph" w:styleId="CkCaution" w:default="0">
    <w:name w:val="Clarkdown Caution"/>
    <w:basedOn w:val="Normal"/>
    <w:pPr>
      <w:pBdr>
        <w:left w:val="single" w:sz="24" w:space="8" w:color="CF222E"/>
      </w:pBdr>
      <w:ind w:left="240"/>
    </w:p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nts" Type="http://schemas.openxmlformats.org/officeDocument/2006/relationships/fontTable" Target="fontTable.xml"/><Relationship Id="rIdSettings" Type="http://schemas.openxmlformats.org/officeDocument/2006/relationships/settings" Target="settings.xml"/><Relationship Id="rIdHf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rkdownFrontMatter">
    <vt:lpwstr>{"kv":{"theme":"serif"},"v":1}</vt:lpwstr>
  </property>
</Properties>
</file>