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Core" Type="http://schemas.openxmlformats.org/package/2006/relationships/metadata/core-properties" Target="docProps/core.xml"/><Relationship Id="rIdCustom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m="http://schemas.openxmlformats.org/officeDocument/2006/math" xmlns:mc="http://schemas.openxmlformats.org/markup-compatibility/2006" xmlns:ck="urn:clarkdown:docx" mc:Ignorable="ck">
  <w:body>
    <w:p>
      <w:pPr>
        <w:pStyle w:val="Title"/>
        <ck:id v="section"/>
      </w:pPr>
      <w:bookmarkStart w:id="0" w:name="section"/>
      <w:r>
        <w:t>БИЗНЕС-ПЛАН: ТУРИЗМ И ИНДУСТРИЯ ГОСТЕПРИИМСТВА</w:t>
      </w:r>
      <w:bookmarkEnd w:id="0"/>
    </w:p>
    <w:p>
      <w:r>
        <w:rPr>
          <w:rStyle w:val="CkMuted"/>
        </w:rPr>
        <w:t>Пример: гостевой дом / мини-отель или туристический оператор</w:t>
      </w:r>
    </w:p>
    <w:p>
      <w:r>
        <w:t>Название проекта: [впишите]</w:t>
      </w:r>
      <w:r>
        <w:br/>
      </w:r>
      <w:r>
        <w:t>Автор / компания: [впишите]</w:t>
      </w:r>
      <w:r>
        <w:br/>
      </w:r>
      <w:r>
        <w:t>Регион реализации: [впишите]</w:t>
      </w:r>
      <w:r>
        <w:br/>
      </w:r>
      <w:r>
        <w:t>Требуемая сумма инвестиций, сум: [впишите]</w:t>
      </w:r>
      <w:r>
        <w:br/>
      </w:r>
      <w:r>
        <w:t>Дата: [впишите]</w:t>
      </w:r>
    </w:p>
    <w:p>
      <w:r>
        <w:rPr>
          <w:rStyle w:val="CkCaption"/>
          <w:i/>
        </w:rPr>
        <w:t>Это готовый образец (шаблон) бизнес-плана MoliyaHub для отрасли «Туризм и индустрия гостеприимства». Замените текст в квадратных скобках [впишите] и примеры на данные вашего проекта, добавьте или удалите пункты по необходимости. Абзацы в рамке, отмеченные «ПРИМЕР», — иллюстрация формата ответа, а не факты о реальной компании. Финансовый план с рабочими формулами (SUM, прибыль, срок окупаемости, рентабельность) — в отдельном Excel-файле с тем же названием, который дополняет этот документ.</w:t>
      </w:r>
    </w:p>
    <w:p>
      <w:pPr>
        <w:pStyle w:val="Heading2"/>
        <ck:id v="resume"/>
      </w:pPr>
      <w:bookmarkStart w:id="1" w:name="resume"/>
      <w:r>
        <w:t>Резюме проекта</w:t>
      </w:r>
      <w:bookmarkEnd w:id="1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Гостевой дом «Ipak Yoli Inn» на 8 номеров открывается в историческом центре Бухары с фокусом на индивидуальных туристов из Европы и Юго-Восточной Азии. Требуемые инвестиции — 950 млн сум на ремонт исторического здания и меблировку; окупаемость — около 3 сезонов при средней загрузке 55%.</w:t>
                </w:r>
              </w:p>
            </w:tc>
          </w:tr>
        </w:tbl>
      </w:sdtContent>
    </w:sdt>
    <w:p>
      <w:r>
        <w:t>[Впишите] В 5-8 предложениях: суть проекта, какую проблему решает, для кого, требуемая сумма инвестиций и на что она пойдёт, ожидаемый результат (выручка/прибыль/срок окупаемости).</w:t>
      </w:r>
    </w:p>
    <w:p>
      <w:pPr>
        <w:pStyle w:val="Heading2"/>
        <ck:id v="company"/>
      </w:pPr>
      <w:bookmarkStart w:id="2" w:name="company"/>
      <w:r>
        <w:t>Описание компании / проекта</w:t>
      </w:r>
      <w:bookmarkEnd w:id="2"/>
    </w:p>
    <w:p>
      <w:r>
        <w:t>[Впишите] Организационно-правовая форма (ИП/ООО/фермерское хозяйство), команда, текущий статус проекта (идея / MVP / действующий бизнес), уникальное торговое предложение.</w:t>
      </w:r>
    </w:p>
    <w:p>
      <w:pPr>
        <w:pStyle w:val="Heading2"/>
        <ck:id v="market"/>
      </w:pPr>
      <w:bookmarkStart w:id="3" w:name="market"/>
      <w:r>
        <w:t>Анализ рынка: Туризм и индустрия гостеприимства</w:t>
      </w:r>
      <w:bookmarkEnd w:id="3"/>
    </w:p>
    <w:p>
      <w:pPr>
        <w:pStyle w:val="ListParagraph"/>
        <w:numPr>
          <w:ilvl w:val="0"/>
          <w:numId w:val="1"/>
        </w:numPr>
      </w:pPr>
      <w:r>
        <w:t>Узбекистан переживает бум въездного туризма: по данным UzDaily и Nuz.uz, за январь–июль 2026 года страну посетили 7,74 млн иностранных туристов — рост на 22,6% год к году, а экспорт туристических услуг за тот же период достиг $3,895 млрд (+56% год к году) (nuz.uz, uzdaily.uz).</w:t>
      </w:r>
    </w:p>
    <w:p>
      <w:pPr>
        <w:pStyle w:val="ListParagraph"/>
        <w:numPr>
          <w:ilvl w:val="0"/>
          <w:numId w:val="1"/>
        </w:numPr>
      </w:pPr>
      <w:r>
        <w:t>Узбекистан входит в топ-5 стран мира по темпам роста туристического потока (yuz.uz) — это открывает окно возможностей, но одновременно означает быстрый приток новых игроков и рост конкуренции за туристов и кадры.</w:t>
      </w:r>
    </w:p>
    <w:p>
      <w:pPr>
        <w:pStyle w:val="ListParagraph"/>
        <w:numPr>
          <w:ilvl w:val="0"/>
          <w:numId w:val="1"/>
        </w:numPr>
      </w:pPr>
      <w:r>
        <w:t>Инфраструктура размещения растёт вслед за спросом: только за первые 7 месяцев 2026 года появилось 705 новых объектов размещения (nuz.uz) — рынок мини-отелей и гостевых домов активно насыщается, особенно в Самарканде, Бухаре и Хиве.</w:t>
      </w:r>
    </w:p>
    <w:p>
      <w:pPr>
        <w:pStyle w:val="ListParagraph"/>
        <w:numPr>
          <w:ilvl w:val="0"/>
          <w:numId w:val="1"/>
        </w:numPr>
      </w:pPr>
      <w:r>
        <w:t>Действует упрощённое лицензирование малых средств размещения и меры поддержки туристического бизнеса; для многих направлений (Россия, страны СНГ, ряд государств Азии) действует упрощённый или безвизовый режим въезда.</w:t>
      </w:r>
    </w:p>
    <w:p>
      <w:pPr>
        <w:pStyle w:val="ListParagraph"/>
        <w:numPr>
          <w:ilvl w:val="0"/>
          <w:numId w:val="1"/>
        </w:numPr>
      </w:pPr>
      <w:r>
        <w:t>Растёт спрос на нишевые форматы: гастрономический, паломнический и эко-туризм, а также культурно-исторический туризм вне «золотого треугольника» Самарканд-Бухара-Хива — менее насыщенные регионы дают больше пространства для нового бизнеса.</w:t>
      </w:r>
    </w:p>
    <w:p>
      <w:pPr>
        <w:pStyle w:val="ListParagraph"/>
        <w:numPr>
          <w:ilvl w:val="0"/>
          <w:numId w:val="1"/>
        </w:numPr>
      </w:pPr>
      <w:r>
        <w:t>Для сравнения: Казахстан делает ставку на природный и деловой туризм (Алматы, Астана), а не на культурно-исторический — Узбекистан по историческому наследию Шёлкового пути конкурентов в регионе практически не имеет, но уступает соседям в развитости туристической инфраструктуры вне основных городов.</w:t>
      </w:r>
    </w:p>
    <w:p>
      <w:pPr>
        <w:pStyle w:val="ListParagraph"/>
        <w:numPr>
          <w:ilvl w:val="0"/>
          <w:numId w:val="1"/>
        </w:numPr>
      </w:pPr>
      <w:r>
        <w:t>[Впишите] Сезонность и загрузку в вашем регионе, средний чек конкурентов — уточняйте по данным Госкомтуризма (uzbekistan.travel) и локальным ассоциациям гостиниц.</w:t>
      </w:r>
    </w:p>
    <w:p>
      <w:pPr>
        <w:pStyle w:val="Heading3"/>
        <ck:id v="section-1"/>
      </w:pPr>
      <w:bookmarkStart w:id="4" w:name="section_1"/>
      <w:r>
        <w:t>Конкуренты</w:t>
      </w:r>
      <w:bookmarkEnd w:id="4"/>
    </w:p>
    <w:p>
      <w:r>
        <w:t>[Впишите] Список из 3-5 прямых конкурентов, их сильные и слабые стороны, чем вы отличаетесь.</w:t>
      </w:r>
    </w:p>
    <w:p>
      <w:pPr>
        <w:pStyle w:val="Heading3"/>
        <ck:id v="section-2"/>
      </w:pPr>
      <w:bookmarkStart w:id="5" w:name="section_2"/>
      <w:r>
        <w:t>Целевая аудитория</w:t>
      </w:r>
      <w:bookmarkEnd w:id="5"/>
    </w:p>
    <w:p>
      <w:r>
        <w:t>[Впишите] Портрет основного клиента: кто он, что для него важно при выборе, где его найти.</w:t>
      </w:r>
    </w:p>
    <w:p>
      <w:pPr>
        <w:pStyle w:val="Heading2"/>
        <ck:id v="marketing"/>
      </w:pPr>
      <w:bookmarkStart w:id="6" w:name="marketing"/>
      <w:r>
        <w:t>Маркетинговый план</w:t>
      </w:r>
      <w:bookmarkEnd w:id="6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Цена — на уровне среднего чека по Бухаре с наценкой за аутентичный дизайн и завтрак из местной кухни; продвижение — листинг на Booking.com и Airbnb с профессиональными фото, партнёрство с местными гидами и туроператорами, работа с отзывами для рейтинга площадок.</w:t>
                </w:r>
              </w:p>
            </w:tc>
          </w:tr>
        </w:tbl>
      </w:sdtContent>
    </w:sdt>
    <w:p>
      <w:r>
        <w:t>[Впишите] Ценообразование, каналы продвижения и продаж, план привлечения первых клиентов.</w:t>
      </w:r>
    </w:p>
    <w:p>
      <w:pPr>
        <w:pStyle w:val="Heading2"/>
        <ck:id v="operations"/>
      </w:pPr>
      <w:bookmarkStart w:id="7" w:name="operations"/>
      <w:r>
        <w:t>Операционный план</w:t>
      </w:r>
      <w:bookmarkEnd w:id="7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Цикл: бронирование через платформы или напрямую → заселение → обслуживание в течение проживания (завтрак, уборка, консьерж-услуги) → выезд и сбор отзыва. Требуется регистрация и сертификация средства размещения, санитарные разрешения для точки питания при её наличии.</w:t>
                </w:r>
              </w:p>
            </w:tc>
          </w:tr>
        </w:tbl>
      </w:sdtContent>
    </w:sdt>
    <w:p>
      <w:r>
        <w:t>[Впишите] Процесс производства/оказания услуги, ключевые поставщики, оборудование, необходимые лицензии и разрешения.</w:t>
      </w:r>
    </w:p>
    <w:p>
      <w:pPr>
        <w:pStyle w:val="Heading2"/>
        <ck:id v="org"/>
      </w:pPr>
      <w:bookmarkStart w:id="8" w:name="org"/>
      <w:r>
        <w:t>Организационный план</w:t>
      </w:r>
      <w:bookmarkEnd w:id="8"/>
    </w:p>
    <w:sdt>
      <w:sdtPr>
        <w:tag w:val="clarkdown:div"/>
        <ck:div v="|panel|"/>
      </w:sdtPr>
      <w:sdtContent>
        <w:tbl>
          <w:tblPr>
            <w:tblW w:w="5000" w:type="pct"/>
            <w:tblBorders>
              <w:top w:val="none"/>
              <w:left w:val="none"/>
              <w:bottom w:val="none"/>
              <w:right w:val="none"/>
              <w:insideH w:val="none"/>
              <w:insideV w:val="none"/>
            </w:tblBorders>
            <w:tblCellMar>
              <w:top w:w="320" w:type="dxa"/>
              <w:left w:w="240" w:type="dxa"/>
              <w:bottom w:w="320" w:type="dxa"/>
              <w:right w:w="240" w:type="dxa"/>
            </w:tblCellMar>
          </w:tblPr>
          <w:tblGrid>
            <w:gridCol/>
          </w:tblGrid>
          <w:tr>
            <w:tc>
              <w:tcPr>
                <w:shd w:val="clear" w:fill="E4E4E4"/>
              </w:tcPr>
              <w:p>
                <w:r>
                  <w:rPr>
                    <w:rStyle w:val="CkKicker"/>
                  </w:rPr>
                  <w:t>ПРИМЕР</w:t>
                </w:r>
              </w:p>
              <w:p>
                <w:r>
                  <w:t>Управляющий-владелец, администратор ресепшена (посменно), 2 горничные, повар для завтраков на part-time. Форма — ИП или ООО в зависимости от масштаба и планов расширения.</w:t>
                </w:r>
              </w:p>
            </w:tc>
          </w:tr>
        </w:tbl>
      </w:sdtContent>
    </w:sdt>
    <w:p>
      <w:r>
        <w:t>[Впишите] Команда и роли, штатное расписание, организационно-правовая форма.</w:t>
      </w:r>
    </w:p>
    <w:p>
      <w:pPr>
        <w:pStyle w:val="Heading2"/>
        <ck:id v="risks"/>
      </w:pPr>
      <w:bookmarkStart w:id="9" w:name="risks"/>
      <w:r>
        <w:t>Риски и меры по их снижению</w:t>
      </w:r>
      <w:bookmarkEnd w:id="9"/>
    </w:p>
    <w:tbl>
      <w:tblPr>
        <w:tblStyle w:val="CkTable"/>
        <w:tblW w:w="0" w:type="auto"/>
        <w:tblLayout w:type="autofit"/>
        <w:tblLook w:firstRow="1" w:lastRow="0" w:firstColumn="0" w:lastColumn="0" w:noHBand="0" w:noVBand="1"/>
      </w:tblPr>
      <w:tblGrid>
        <w:gridCol/>
        <w:gridCol/>
      </w:tblGrid>
      <w:tr>
        <w:trPr>
          <w:tblHeader/>
        </w:trPr>
        <w:tc>
          <w:tcPr/>
          <w:p>
            <w:r>
              <w:rPr>
                <w:b/>
              </w:rPr>
              <w:t>Риск</w:t>
            </w:r>
          </w:p>
        </w:tc>
        <w:tc>
          <w:tcPr/>
          <w:p>
            <w:r>
              <w:rPr>
                <w:b/>
              </w:rPr>
              <w:t>Меры снижения</w:t>
            </w:r>
          </w:p>
        </w:tc>
      </w:tr>
      <w:tr>
        <w:tc>
          <w:tcPr/>
          <w:p>
            <w:r>
              <w:t>Сезонность спроса (спад в жаркие летние и зимние месяцы)</w:t>
            </w:r>
          </w:p>
        </w:tc>
        <w:tc>
          <w:tcPr/>
          <w:p>
            <w:r>
              <w:t>Гибкое ценообразование, дополнительные услуги и пакеты в межсезонье, работа с внутренним туризмом</w:t>
            </w:r>
          </w:p>
        </w:tc>
      </w:tr>
      <w:tr>
        <w:tc>
          <w:tcPr/>
          <w:p>
            <w:r>
              <w:t>Высокие комиссии онлайн-платформ бронирования</w:t>
            </w:r>
          </w:p>
        </w:tc>
        <w:tc>
          <w:tcPr/>
          <w:p>
            <w:r>
              <w:t>Развитие прямых каналов продаж, программа повторных бронирований и постоянных клиентов</w:t>
            </w:r>
          </w:p>
        </w:tc>
      </w:tr>
      <w:tr>
        <w:tc>
          <w:tcPr/>
          <w:p>
            <w:r>
              <w:t>Изменение визовых/пограничных правил для ключевых рынков</w:t>
            </w:r>
          </w:p>
        </w:tc>
        <w:tc>
          <w:tcPr/>
          <w:p>
            <w:r>
              <w:t>Мониторинг регуляторики въездного туризма, диверсификация географии привлекаемых туристов</w:t>
            </w:r>
          </w:p>
        </w:tc>
      </w:tr>
      <w:tr>
        <w:tc>
          <w:tcPr/>
          <w:p>
            <w:r>
              <w:t>Быстрый рост числа новых объектов размещения и обострение конкуренции</w:t>
            </w:r>
          </w:p>
        </w:tc>
        <w:tc>
          <w:tcPr/>
          <w:p>
            <w:r>
              <w:t>Чёткое позиционирование и УТП (ниша, дизайн, сервис), а не конкуренция только по цене</w:t>
            </w:r>
          </w:p>
        </w:tc>
      </w:tr>
      <w:tr>
        <w:tc>
          <w:tcPr/>
          <w:p>
            <w:r>
              <w:t>Дефицит квалифицированного гостиничного персонала (особенно со знанием языков)</w:t>
            </w:r>
          </w:p>
        </w:tc>
        <w:tc>
          <w:tcPr/>
          <w:p>
            <w:r>
              <w:t>Обучение персонала, конкурентные условия труда, частичная автоматизация ресепшена</w:t>
            </w:r>
          </w:p>
        </w:tc>
      </w:tr>
      <w:tr>
        <w:tc>
          <w:tcPr/>
          <w:p>
            <w:r>
              <w:t>Ущерб историческим объектам/инфраструктуре от резкого роста турпотока</w:t>
            </w:r>
          </w:p>
        </w:tc>
        <w:tc>
          <w:tcPr/>
          <w:p>
            <w:r>
              <w:t>Учёт норм охраны исторического наследия при ремонте, участие в программах устойчивого туризма</w:t>
            </w:r>
          </w:p>
        </w:tc>
      </w:tr>
    </w:tbl>
    <w:p>
      <w:r>
        <w:t>[Впишите] Дополните таблицу своими рисками, специфичными для вашего проекта и региона.</w:t>
      </w:r>
    </w:p>
    <w:sectPr>
      <ck:section v="1:||margins=1.1in,size=letter"/>
      <w:footerReference w:type="default" r:id="rIdHf1"/>
      <w:pgSz w:w="12240" w:h="15840"/>
      <w:pgMar w:top="1584" w:right="1584" w:bottom="1584" w:left="1584" w:header="720" w:footer="720" w:gutter="0"/>
    </w:sectPr>
  </w:body>
</w:document>
</file>

<file path=word/fontTable.xml><?xml version="1.0" encoding="utf-8"?>
<w:fonts xmlns:w="http://schemas.openxmlformats.org/wordprocessingml/2006/main">
  <w:font w:name="Cambria">
    <w:family w:val="roman"/>
  </w:font>
  <w:font w:name="Consolas">
    <w:family w:val="modern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m="http://schemas.openxmlformats.org/officeDocument/2006/math" xmlns:mc="http://schemas.openxmlformats.org/markup-compatibility/2006" xmlns:ck="urn:clarkdown:docx" mc:Ignorable="ck">
  <w:sdt>
    <w:sdtPr>
      <w:tag w:val="clarkdown:div"/>
      <ck:div v="||text-align=center"/>
    </w:sdtPr>
    <w:sdtContent>
      <w:p>
        <w:pPr>
          <w:jc w:val="center"/>
        </w:pPr>
        <w:r>
          <w:t xml:space="preserve">MoliyaHub · </w:t>
        </w:r>
        <w:fldSimple w:instr="PAGE">
          <w:r>
            <w:t>1</w:t>
          </w:r>
        </w:fldSimple>
      </w:p>
    </w:sdtContent>
  </w:sdt>
</w:ftr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1."/>
      <w:lvlJc w:val="left"/>
      <w:pPr>
        <w:ind w:left="2880" w:hanging="360"/>
      </w:pPr>
    </w:lvl>
    <w:lvl w:ilvl="4">
      <w:start w:val="1"/>
      <w:numFmt w:val="decimal"/>
      <w:lvlText w:val="%2."/>
      <w:lvlJc w:val="left"/>
      <w:pPr>
        <w:ind w:left="3600" w:hanging="360"/>
      </w:pPr>
    </w:lvl>
    <w:lvl w:ilvl="5">
      <w:start w:val="1"/>
      <w:numFmt w:val="decimal"/>
      <w:lvlText w:val="%3."/>
      <w:lvlJc w:val="left"/>
      <w:pPr>
        <w:ind w:left="4320" w:hanging="360"/>
      </w:pPr>
    </w:lvl>
    <w:lvl w:ilvl="6">
      <w:start w:val="1"/>
      <w:numFmt w:val="decimal"/>
      <w:lvlText w:val="%1."/>
      <w:lvlJc w:val="left"/>
      <w:pPr>
        <w:ind w:left="5040" w:hanging="360"/>
      </w:pPr>
    </w:lvl>
    <w:lvl w:ilvl="7">
      <w:start w:val="1"/>
      <w:numFmt w:val="decimal"/>
      <w:lvlText w:val="%2."/>
      <w:lvlJc w:val="left"/>
      <w:pPr>
        <w:ind w:left="5760" w:hanging="360"/>
      </w:pPr>
    </w:lvl>
    <w:lvl w:ilvl="8">
      <w:start w:val="1"/>
      <w:numFmt w:val="decimal"/>
      <w:lvlText w:val="%3."/>
      <w:lvlJc w:val="left"/>
      <w:pPr>
        <w:ind w:left="6480" w:hanging="360"/>
      </w:pPr>
    </w:lvl>
  </w:abstractNum>
  <w:abstractNum w:abstractNumId="3">
    <w:multiLevelType w:val="hybridMultilevel"/>
    <w:lvl w:ilvl="0">
      <w:start w:val="1"/>
      <w:numFmt w:val="bullet"/>
      <w:lvlText w:val="☐"/>
      <w:lvlJc w:val="left"/>
      <w:pPr>
        <w:ind w:left="720" w:hanging="360"/>
      </w:pPr>
    </w:lvl>
    <w:lvl w:ilvl="1">
      <w:start w:val="1"/>
      <w:numFmt w:val="bullet"/>
      <w:lvlText w:val="☐"/>
      <w:lvlJc w:val="left"/>
      <w:pPr>
        <w:ind w:left="1440" w:hanging="360"/>
      </w:pPr>
    </w:lvl>
    <w:lvl w:ilvl="2">
      <w:start w:val="1"/>
      <w:numFmt w:val="bullet"/>
      <w:lvlText w:val="☐"/>
      <w:lvlJc w:val="left"/>
      <w:pPr>
        <w:ind w:left="2160" w:hanging="360"/>
      </w:pPr>
    </w:lvl>
    <w:lvl w:ilvl="3">
      <w:start w:val="1"/>
      <w:numFmt w:val="bullet"/>
      <w:lvlText w:val="☐"/>
      <w:lvlJc w:val="left"/>
      <w:pPr>
        <w:ind w:left="2880" w:hanging="360"/>
      </w:pPr>
    </w:lvl>
    <w:lvl w:ilvl="4">
      <w:start w:val="1"/>
      <w:numFmt w:val="bullet"/>
      <w:lvlText w:val="☐"/>
      <w:lvlJc w:val="left"/>
      <w:pPr>
        <w:ind w:left="3600" w:hanging="360"/>
      </w:pPr>
    </w:lvl>
    <w:lvl w:ilvl="5">
      <w:start w:val="1"/>
      <w:numFmt w:val="bullet"/>
      <w:lvlText w:val="☐"/>
      <w:lvlJc w:val="left"/>
      <w:pPr>
        <w:ind w:left="4320" w:hanging="360"/>
      </w:pPr>
    </w:lvl>
    <w:lvl w:ilvl="6">
      <w:start w:val="1"/>
      <w:numFmt w:val="bullet"/>
      <w:lvlText w:val="☐"/>
      <w:lvlJc w:val="left"/>
      <w:pPr>
        <w:ind w:left="5040" w:hanging="360"/>
      </w:pPr>
    </w:lvl>
    <w:lvl w:ilvl="7">
      <w:start w:val="1"/>
      <w:numFmt w:val="bullet"/>
      <w:lvlText w:val="☐"/>
      <w:lvlJc w:val="left"/>
      <w:pPr>
        <w:ind w:left="5760" w:hanging="360"/>
      </w:pPr>
    </w:lvl>
    <w:lvl w:ilvl="8">
      <w:start w:val="1"/>
      <w:numFmt w:val="bullet"/>
      <w:lvlText w:val="☐"/>
      <w:lvlJc w:val="left"/>
      <w:pPr>
        <w:ind w:left="6480" w:hanging="360"/>
      </w:pPr>
    </w:lvl>
  </w:abstractNum>
  <w:abstractNum w:abstractNumId="4">
    <w:multiLevelType w:val="hybridMultilevel"/>
    <w:lvl w:ilvl="0">
      <w:start w:val="1"/>
      <w:numFmt w:val="bullet"/>
      <w:lvlText w:val="☑"/>
      <w:lvlJc w:val="left"/>
      <w:pPr>
        <w:ind w:left="720" w:hanging="360"/>
      </w:pPr>
    </w:lvl>
    <w:lvl w:ilvl="1">
      <w:start w:val="1"/>
      <w:numFmt w:val="bullet"/>
      <w:lvlText w:val="☑"/>
      <w:lvlJc w:val="left"/>
      <w:pPr>
        <w:ind w:left="1440" w:hanging="360"/>
      </w:pPr>
    </w:lvl>
    <w:lvl w:ilvl="2">
      <w:start w:val="1"/>
      <w:numFmt w:val="bullet"/>
      <w:lvlText w:val="☑"/>
      <w:lvlJc w:val="left"/>
      <w:pPr>
        <w:ind w:left="2160" w:hanging="360"/>
      </w:pPr>
    </w:lvl>
    <w:lvl w:ilvl="3">
      <w:start w:val="1"/>
      <w:numFmt w:val="bullet"/>
      <w:lvlText w:val="☑"/>
      <w:lvlJc w:val="left"/>
      <w:pPr>
        <w:ind w:left="2880" w:hanging="360"/>
      </w:pPr>
    </w:lvl>
    <w:lvl w:ilvl="4">
      <w:start w:val="1"/>
      <w:numFmt w:val="bullet"/>
      <w:lvlText w:val="☑"/>
      <w:lvlJc w:val="left"/>
      <w:pPr>
        <w:ind w:left="3600" w:hanging="360"/>
      </w:pPr>
    </w:lvl>
    <w:lvl w:ilvl="5">
      <w:start w:val="1"/>
      <w:numFmt w:val="bullet"/>
      <w:lvlText w:val="☑"/>
      <w:lvlJc w:val="left"/>
      <w:pPr>
        <w:ind w:left="4320" w:hanging="360"/>
      </w:pPr>
    </w:lvl>
    <w:lvl w:ilvl="6">
      <w:start w:val="1"/>
      <w:numFmt w:val="bullet"/>
      <w:lvlText w:val="☑"/>
      <w:lvlJc w:val="left"/>
      <w:pPr>
        <w:ind w:left="5040" w:hanging="360"/>
      </w:pPr>
    </w:lvl>
    <w:lvl w:ilvl="7">
      <w:start w:val="1"/>
      <w:numFmt w:val="bullet"/>
      <w:lvlText w:val="☑"/>
      <w:lvlJc w:val="left"/>
      <w:pPr>
        <w:ind w:left="5760" w:hanging="360"/>
      </w:pPr>
    </w:lvl>
    <w:lvl w:ilvl="8">
      <w:start w:val="1"/>
      <w:numFmt w:val="bullet"/>
      <w:lvlText w:val="☑"/>
      <w:lvlJc w:val="left"/>
      <w:pPr>
        <w:ind w:left="6480" w:hanging="36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cs="Cambria"/>
        <w:sz w:val="22"/>
        <w:szCs w:val="22"/>
        <w:lang w:val="en-US"/>
      </w:rPr>
    </w:rPrDefault>
    <w:pPrDefault>
      <w:pPr>
        <w:spacing w:after="160" w:line="312" w:lineRule="auto"/>
      </w:pPr>
    </w:pPrDefault>
  </w:docDefaults>
  <w:style w:type="paragraph" w:styleId="Normal" w:default="1">
    <w:name w:val="Normal"/>
  </w:style>
  <w:style w:type="paragraph" w:styleId="Heading1" w:default="0">
    <w:name w:val="heading 1"/>
    <w:basedOn w:val="Normal"/>
    <w:next w:val="Normal"/>
    <w:pPr>
      <w:keepNext/>
      <w:keepLines/>
      <w:spacing w:before="320" w:line="264" w:lineRule="auto"/>
      <w:outlineLvl w:val="0"/>
    </w:pPr>
    <w:rPr>
      <w:rFonts w:ascii="Cambria" w:hAnsi="Cambria"/>
      <w:b/>
      <w:color w:val="1A1A1A"/>
      <w:sz w:val="38"/>
      <w:szCs w:val="38"/>
    </w:rPr>
  </w:style>
  <w:style w:type="paragraph" w:styleId="Heading2" w:default="0">
    <w:name w:val="heading 2"/>
    <w:basedOn w:val="Normal"/>
    <w:next w:val="Normal"/>
    <w:pPr>
      <w:keepNext/>
      <w:keepLines/>
      <w:spacing w:before="320" w:line="264" w:lineRule="auto"/>
      <w:outlineLvl w:val="1"/>
    </w:pPr>
    <w:rPr>
      <w:rFonts w:ascii="Cambria" w:hAnsi="Cambria"/>
      <w:b/>
      <w:sz w:val="32"/>
      <w:szCs w:val="32"/>
    </w:rPr>
  </w:style>
  <w:style w:type="paragraph" w:styleId="Heading3" w:default="0">
    <w:name w:val="heading 3"/>
    <w:basedOn w:val="Normal"/>
    <w:next w:val="Normal"/>
    <w:pPr>
      <w:keepNext/>
      <w:keepLines/>
      <w:spacing w:before="160" w:line="264" w:lineRule="auto"/>
      <w:outlineLvl w:val="2"/>
    </w:pPr>
    <w:rPr>
      <w:rFonts w:ascii="Cambria" w:hAnsi="Cambria"/>
      <w:b/>
      <w:sz w:val="26"/>
      <w:szCs w:val="26"/>
    </w:rPr>
  </w:style>
  <w:style w:type="paragraph" w:styleId="Heading4" w:default="0">
    <w:name w:val="heading 4"/>
    <w:basedOn w:val="Normal"/>
    <w:next w:val="Normal"/>
    <w:pPr>
      <w:keepNext/>
      <w:keepLines/>
      <w:spacing w:before="160" w:line="264" w:lineRule="auto"/>
      <w:outlineLvl w:val="3"/>
    </w:pPr>
    <w:rPr>
      <w:rFonts w:ascii="Cambria" w:hAnsi="Cambria"/>
      <w:b/>
      <w:sz w:val="22"/>
      <w:szCs w:val="22"/>
    </w:rPr>
  </w:style>
  <w:style w:type="paragraph" w:styleId="Heading5" w:default="0">
    <w:name w:val="heading 5"/>
    <w:basedOn w:val="Normal"/>
    <w:next w:val="Normal"/>
    <w:pPr>
      <w:keepNext/>
      <w:keepLines/>
      <w:spacing w:before="160" w:line="264" w:lineRule="auto"/>
      <w:outlineLvl w:val="4"/>
    </w:pPr>
    <w:rPr>
      <w:rFonts w:ascii="Cambria" w:hAnsi="Cambria"/>
      <w:b/>
      <w:sz w:val="22"/>
      <w:szCs w:val="22"/>
    </w:rPr>
  </w:style>
  <w:style w:type="paragraph" w:styleId="Heading6" w:default="0">
    <w:name w:val="heading 6"/>
    <w:basedOn w:val="Normal"/>
    <w:next w:val="Normal"/>
    <w:pPr>
      <w:keepNext/>
      <w:keepLines/>
      <w:spacing w:before="160" w:line="264" w:lineRule="auto"/>
      <w:outlineLvl w:val="5"/>
    </w:pPr>
    <w:rPr>
      <w:rFonts w:ascii="Cambria" w:hAnsi="Cambria"/>
      <w:b/>
      <w:sz w:val="22"/>
      <w:szCs w:val="22"/>
    </w:rPr>
  </w:style>
  <w:style w:type="paragraph" w:styleId="Quote" w:default="0">
    <w:name w:val="Quote"/>
    <w:basedOn w:val="Normal"/>
    <w:pPr>
      <w:ind w:left="320"/>
      <w:pBdr>
        <w:left w:val="single" w:sz="24" w:space="12" w:color="BFBFBF"/>
      </w:pBdr>
    </w:pPr>
    <w:rPr>
      <w:i/>
      <w:color w:val="595959"/>
    </w:rPr>
  </w:style>
  <w:style w:type="character" w:styleId="CkHighlight">
    <w:name w:val="Clarkdown Highlight"/>
    <w:rPr>
      <w:shd w:val="clear" w:fill="FFF2A8"/>
    </w:rPr>
  </w:style>
  <w:style w:type="character" w:styleId="CkSmallcaps">
    <w:name w:val="Clarkdown Smallcaps"/>
    <w:rPr>
      <w:smallCaps/>
    </w:rPr>
  </w:style>
  <w:style w:type="character" w:styleId="CkUnderline">
    <w:name w:val="Clarkdown Underline"/>
    <w:rPr>
      <w:u w:val="single"/>
    </w:rPr>
  </w:style>
  <w:style w:type="character" w:styleId="CkMuted">
    <w:name w:val="Clarkdown Muted"/>
    <w:rPr>
      <w:color w:val="595959"/>
    </w:rPr>
  </w:style>
  <w:style w:type="character" w:styleId="CkAccent">
    <w:name w:val="Clarkdown Accent"/>
    <w:rPr>
      <w:color w:val="1A1A1A"/>
    </w:rPr>
  </w:style>
  <w:style w:type="character" w:styleId="CkCaption">
    <w:name w:val="Clarkdown Caption"/>
    <w:rPr>
      <w:i/>
      <w:color w:val="595959"/>
      <w:sz w:val="20"/>
      <w:szCs w:val="20"/>
    </w:rPr>
  </w:style>
  <w:style w:type="paragraph" w:styleId="CkDisplay" w:default="0">
    <w:name w:val="Clarkdown Display"/>
    <w:basedOn w:val="Normal"/>
    <w:next w:val="Normal"/>
    <w:pPr>
      <w:keepNext/>
      <w:keepLines/>
      <w:spacing w:after="240" w:line="264" w:lineRule="auto"/>
    </w:pPr>
    <w:rPr>
      <w:rFonts w:ascii="Cambria" w:hAnsi="Cambria"/>
      <w:b/>
      <w:color w:val="1A1A1A"/>
      <w:sz w:val="132"/>
      <w:szCs w:val="132"/>
    </w:rPr>
  </w:style>
  <w:style w:type="character" w:styleId="CkKicker">
    <w:name w:val="Clarkdown Kicker"/>
    <w:rPr>
      <w:smallCaps/>
      <w:spacing w:val="18"/>
      <w:color w:val="595959"/>
    </w:rPr>
  </w:style>
  <w:style w:type="paragraph" w:styleId="CkTrackedCaps" w:default="0">
    <w:name w:val="Clarkdown Tracked Caps"/>
    <w:basedOn w:val="Normal"/>
    <w:next w:val="Normal"/>
    <w:rPr>
      <w:smallCaps/>
      <w:spacing w:val="18"/>
    </w:rPr>
  </w:style>
  <w:style w:type="paragraph" w:styleId="Title" w:default="0">
    <w:name w:val="Title"/>
    <w:basedOn w:val="Normal"/>
    <w:next w:val="Normal"/>
    <w:pPr>
      <w:keepNext/>
      <w:keepLines/>
      <w:spacing w:after="240" w:line="264" w:lineRule="auto"/>
    </w:pPr>
    <w:rPr>
      <w:rFonts w:ascii="Cambria" w:hAnsi="Cambria"/>
      <w:b/>
      <w:sz w:val="46"/>
      <w:szCs w:val="46"/>
    </w:rPr>
  </w:style>
  <w:style w:type="character" w:styleId="Hyperlink">
    <w:name w:val="Hyperlink"/>
    <w:rPr>
      <w:color w:val="1A1A1A"/>
      <w:u w:val="single"/>
    </w:rPr>
  </w:style>
  <w:style w:type="paragraph" w:styleId="CkCodeBlock" w:default="0">
    <w:name w:val="Clarkdown Code Block"/>
    <w:basedOn w:val="Normal"/>
    <w:pPr>
      <w:shd w:val="clear" w:fill="EDEDED"/>
      <w:spacing w:after="0" w:line="240" w:lineRule="auto"/>
    </w:pPr>
    <w:rPr>
      <w:rFonts w:ascii="Consolas" w:hAnsi="Consolas"/>
      <w:noProof/>
      <w:sz w:val="20"/>
    </w:rPr>
  </w:style>
  <w:style w:type="character" w:styleId="CkCode">
    <w:name w:val="Clarkdown Code"/>
    <w:rPr>
      <w:rFonts w:ascii="Consolas" w:hAnsi="Consolas"/>
      <w:shd w:val="clear" w:fill="EDEDED"/>
      <w:sz w:val="20"/>
    </w:rPr>
  </w:style>
  <w:style w:type="paragraph" w:styleId="Caption" w:default="0">
    <w:name w:val="caption"/>
    <w:basedOn w:val="Normal"/>
    <w:rPr>
      <w:i/>
      <w:sz w:val="18"/>
    </w:rPr>
  </w:style>
  <w:style w:type="paragraph" w:styleId="ListParagraph" w:default="0">
    <w:name w:val="List Paragraph"/>
    <w:basedOn w:val="Normal"/>
    <w:pPr>
      <w:ind w:left="320"/>
    </w:pPr>
  </w:style>
  <w:style w:type="paragraph" w:styleId="CkUnknown" w:default="0">
    <w:name w:val="Clarkdown Unknown"/>
    <w:basedOn w:val="Normal"/>
    <w:pPr>
      <w:shd w:val="clear" w:fill="FFEEEE"/>
    </w:pPr>
  </w:style>
  <w:style w:type="paragraph" w:styleId="FootnoteText" w:default="0">
    <w:name w:val="footnote text"/>
    <w:basedOn w:val="Normal"/>
    <w:rPr>
      <w:sz w:val="18"/>
    </w:rPr>
  </w:style>
  <w:style w:type="character" w:styleId="FootnoteReference">
    <w:name w:val="footnote reference"/>
    <w:rPr>
      <w:vertAlign w:val="superscript"/>
    </w:rPr>
  </w:style>
  <w:style w:type="table" w:styleId="CkTable">
    <w:name w:val="Clarkdown Table"/>
    <w:tblPr>
      <w:tblBorders>
        <w:top w:val="single" w:sz="4" w:color="BFBFBF"/>
        <w:left w:val="single" w:sz="4" w:color="BFBFBF"/>
        <w:bottom w:val="single" w:sz="4" w:color="BFBFBF"/>
        <w:right w:val="single" w:sz="4" w:color="BFBFBF"/>
        <w:insideH w:val="single" w:sz="4" w:color="BFBFBF"/>
        <w:insideV w:val="single" w:sz="4" w:color="BFBFBF"/>
      </w:tblBorders>
      <w:tblCellMar>
        <w:top w:w="80" w:type="dxa"/>
        <w:left w:w="80" w:type="dxa"/>
        <w:bottom w:w="80" w:type="dxa"/>
        <w:right w:w="80" w:type="dxa"/>
      </w:tblCellMar>
    </w:tblPr>
  </w:style>
  <w:style w:type="table" w:styleId="CkLayout">
    <w:name w:val="Clarkdown Layout"/>
    <w:tblPr>
      <w:tblBorders>
        <w:top w:val="none"/>
        <w:left w:val="none"/>
        <w:bottom w:val="none"/>
        <w:right w:val="none"/>
        <w:insideH w:val="none"/>
        <w:insideV w:val="none"/>
      </w:tblBorders>
    </w:tblPr>
  </w:style>
  <w:style w:type="paragraph" w:styleId="CkNote" w:default="0">
    <w:name w:val="Clarkdown Note"/>
    <w:basedOn w:val="Normal"/>
    <w:pPr>
      <w:pBdr>
        <w:left w:val="single" w:sz="24" w:space="8" w:color="2F6FEB"/>
      </w:pBdr>
      <w:ind w:left="240"/>
    </w:pPr>
  </w:style>
  <w:style w:type="paragraph" w:styleId="CkTip" w:default="0">
    <w:name w:val="Clarkdown Tip"/>
    <w:basedOn w:val="Normal"/>
    <w:pPr>
      <w:pBdr>
        <w:left w:val="single" w:sz="24" w:space="8" w:color="1A7F37"/>
      </w:pBdr>
      <w:ind w:left="240"/>
    </w:pPr>
  </w:style>
  <w:style w:type="paragraph" w:styleId="CkWarning" w:default="0">
    <w:name w:val="Clarkdown Warning"/>
    <w:basedOn w:val="Normal"/>
    <w:pPr>
      <w:pBdr>
        <w:left w:val="single" w:sz="24" w:space="8" w:color="9A6700"/>
      </w:pBdr>
      <w:ind w:left="240"/>
    </w:pPr>
  </w:style>
  <w:style w:type="paragraph" w:styleId="CkImportant" w:default="0">
    <w:name w:val="Clarkdown Important"/>
    <w:basedOn w:val="Normal"/>
    <w:pPr>
      <w:pBdr>
        <w:left w:val="single" w:sz="24" w:space="8" w:color="8250DF"/>
      </w:pBdr>
      <w:ind w:left="240"/>
    </w:pPr>
  </w:style>
  <w:style w:type="paragraph" w:styleId="CkCaution" w:default="0">
    <w:name w:val="Clarkdown Caution"/>
    <w:basedOn w:val="Normal"/>
    <w:pPr>
      <w:pBdr>
        <w:left w:val="single" w:sz="24" w:space="8" w:color="CF222E"/>
      </w:pBdr>
      <w:ind w:left="240"/>
    </w:pPr>
  </w:style>
</w:styles>
</file>

<file path=word/_rels/document.xml.rels><?xml version="1.0" encoding="UTF-8" standalone="yes"?>
<Relationships xmlns="http://schemas.openxmlformats.org/package/2006/relationships"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Fonts" Type="http://schemas.openxmlformats.org/officeDocument/2006/relationships/fontTable" Target="fontTable.xml"/><Relationship Id="rIdSettings" Type="http://schemas.openxmlformats.org/officeDocument/2006/relationships/settings" Target="settings.xml"/><Relationship Id="rIdHf1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rkdownFrontMatter">
    <vt:lpwstr>{"kv":{"theme":"serif"},"v":1}</vt:lpwstr>
  </property>
</Properties>
</file>