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ТОРГОВЛЯ И ОБЩЕСТВЕННОЕ ПИТАНИЕ</w:t>
      </w:r>
      <w:bookmarkEnd w:id="0"/>
    </w:p>
    <w:p>
      <w:r>
        <w:rPr>
          <w:rStyle w:val="CkMuted"/>
        </w:rPr>
        <w:t>Пример: розничный магазин или точка общественного питания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«Торговля и общественное питание».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Кофейня «Qahva Vaqti» открывается в спальном районе Ташкента формата «кофе с собой» + 12 посадочных мест, с продажей выпечки собственного производства. Требуемые инвестиции — 480 млн сум на ремонт и оборудование; окупаемость — около 16 месяцев при среднем чеке 35 тыс. сум и 120 чеках в день.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Торговля и общественное питание</w:t>
      </w:r>
      <w:bookmarkEnd w:id="3"/>
    </w:p>
    <w:p>
      <w:pPr>
        <w:pStyle w:val="ListParagraph"/>
        <w:numPr>
          <w:ilvl w:val="0"/>
          <w:numId w:val="1"/>
        </w:numPr>
      </w:pPr>
      <w:r>
        <w:t>Розничная торговля и общепит — один из крупнейших секторов по числу МСБ в Узбекистане и одна из самых доступных точек входа для начинающего предпринимателя.</w:t>
      </w:r>
    </w:p>
    <w:p>
      <w:pPr>
        <w:pStyle w:val="ListParagraph"/>
        <w:numPr>
          <w:ilvl w:val="0"/>
          <w:numId w:val="1"/>
        </w:numPr>
      </w:pPr>
      <w:r>
        <w:t>E-commerce растёт стремительно: по данным Gazeta.uz, на платформе Uzum Market работает свыше 18 тыс. продавцов (рост на 32% с начала года), оборот продавцов год к году вырос на 60%, а весь GMV площадки за 2025 год превысил $500 млн (рост в 1,5 раза) при 34 млн заказов (gazeta.uz) — маркетплейсы становятся полноценным каналом сбыта, а не просто дополнением к офлайн-точке.</w:t>
      </w:r>
    </w:p>
    <w:p>
      <w:pPr>
        <w:pStyle w:val="ListParagraph"/>
        <w:numPr>
          <w:ilvl w:val="0"/>
          <w:numId w:val="1"/>
        </w:numPr>
      </w:pPr>
      <w:r>
        <w:t>90% продавцов на крупнейшем маркетплейсе — представители малого бизнеса из регионов, а не только столичные сети (gazeta.uz) — выход на маркетплейс реалистичен и для небольшого нового бизнеса.</w:t>
      </w:r>
    </w:p>
    <w:p>
      <w:pPr>
        <w:pStyle w:val="ListParagraph"/>
        <w:numPr>
          <w:ilvl w:val="0"/>
          <w:numId w:val="1"/>
        </w:numPr>
      </w:pPr>
      <w:r>
        <w:t>Рост доходов населения в крупных городах повышает спрос на современный формат торговли и питания — сетевые кофейни, фудкорты, магазины у дома с удобным форматом.</w:t>
      </w:r>
    </w:p>
    <w:p>
      <w:pPr>
        <w:pStyle w:val="ListParagraph"/>
        <w:numPr>
          <w:ilvl w:val="0"/>
          <w:numId w:val="1"/>
        </w:numPr>
      </w:pPr>
      <w:r>
        <w:t>Для сравнения: в Казахстане e-commerce и маркетплейсы (Kaspi.kz) достигли большей зрелости и доли в розничном обороте — узбекский рынок ещё в фазе быстрого роста, что даёт больше пространства для новых продавцов и брендов, чем на более насыщенных соседних рынках.</w:t>
      </w:r>
    </w:p>
    <w:p>
      <w:pPr>
        <w:pStyle w:val="ListParagraph"/>
        <w:numPr>
          <w:ilvl w:val="0"/>
          <w:numId w:val="1"/>
        </w:numPr>
      </w:pPr>
      <w:r>
        <w:t>[Впишите] Проходимость и конкурентов в конкретной локации, средний чек по сегменту — уточняйте прямым наблюдением на месте и в отраслевых обзорах ритейла.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на уровне среднего чека по району с акцентом на качество кофе и своей выпечки; продвижение — страницы в Instagram/Telegram с фото и акциями, программа лояльности (каждый 6-й кофе бесплатно), партнёрство с соседними офисами на корпоративные заказы.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закупка сырья у поставщиков → приготовление на месте → продажа в зале/навынос → учёт выручки через ККМ. Ключевые поставщики — обжарщик кофе, поставщик молочной продукции и выпечки. Требуется регистрация ККМ и санитарно-эпидемиологическое заключение.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Владелец-управляющий, 2 бариста посменно, кондитер на part-time, уборщица на аутсорсе. Форма — ИП на начальном этапе, переход в ООО при расширении до сети.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Высокая конкуренция в насыщенных локациях</w:t>
            </w:r>
          </w:p>
        </w:tc>
        <w:tc>
          <w:tcPr/>
          <w:p>
            <w:r>
              <w:t>Уникальное позиционирование, программа лояльности, узнаваемый бренд</w:t>
            </w:r>
          </w:p>
        </w:tc>
      </w:tr>
      <w:tr>
        <w:tc>
          <w:tcPr/>
          <w:p>
            <w:r>
              <w:t>Порча/списание скоропортящегося товара</w:t>
            </w:r>
          </w:p>
        </w:tc>
        <w:tc>
          <w:tcPr/>
          <w:p>
            <w:r>
              <w:t>Контроль запасов, принцип FIFO, гибкое меню под остатки</w:t>
            </w:r>
          </w:p>
        </w:tc>
      </w:tr>
      <w:tr>
        <w:tc>
          <w:tcPr/>
          <w:p>
            <w:r>
              <w:t>Изменение потребительского спроса и трендов</w:t>
            </w:r>
          </w:p>
        </w:tc>
        <w:tc>
          <w:tcPr/>
          <w:p>
            <w:r>
              <w:t>Регулярный анализ продаж и ассортимента, тестирование новых позиций малыми партиями</w:t>
            </w:r>
          </w:p>
        </w:tc>
      </w:tr>
      <w:tr>
        <w:tc>
          <w:tcPr/>
          <w:p>
            <w:r>
              <w:t>Рост комиссий и зависимость от маркетплейсов/агрегаторов доставки</w:t>
            </w:r>
          </w:p>
        </w:tc>
        <w:tc>
          <w:tcPr/>
          <w:p>
            <w:r>
              <w:t>Развитие собственных каналов продаж (соцсети, повторные заказы) параллельно с маркетплейсами</w:t>
            </w:r>
          </w:p>
        </w:tc>
      </w:tr>
      <w:tr>
        <w:tc>
          <w:tcPr/>
          <w:p>
            <w:r>
              <w:t>Рост арендных ставок в проходных локациях</w:t>
            </w:r>
          </w:p>
        </w:tc>
        <w:tc>
          <w:tcPr/>
          <w:p>
            <w:r>
              <w:t>Долгосрочный договор аренды с фиксацией ставки, резервная локация</w:t>
            </w:r>
          </w:p>
        </w:tc>
      </w:tr>
      <w:tr>
        <w:tc>
          <w:tcPr/>
          <w:p>
            <w:r>
              <w:t>Дефицит и текучесть линейного персонала (бариста, продавцы)</w:t>
            </w:r>
          </w:p>
        </w:tc>
        <w:tc>
          <w:tcPr/>
          <w:p>
            <w:r>
              <w:t>Понятная система мотивации, обучение при найме, комфортные условия труда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