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E4D3B"/>
          <w:sz w:val="96"/>
          <w:szCs w:val="96"/>
        </w:rPr>
        <w:t xml:space="preserve">Raise</w:t>
      </w:r>
    </w:p>
    <w:p>
      <w:pPr>
        <w:spacing w:after="300"/>
      </w:pPr>
      <w:r>
        <w:rPr>
          <w:rFonts w:ascii="Arial" w:cs="Arial" w:eastAsia="Arial" w:hAnsi="Arial"/>
          <w:color w:val="15201A"/>
          <w:sz w:val="40"/>
          <w:szCs w:val="40"/>
        </w:rPr>
        <w:t xml:space="preserve">PRD, User Flows, Journey Maps &amp; Wireframes</w:t>
      </w:r>
    </w:p>
    <w:p>
      <w:pPr>
        <w:pBdr>
          <w:bottom w:val="single" w:color="F2B441" w:sz="12" w:space="8"/>
        </w:pBdr>
        <w:spacing w:after="1200"/>
      </w:pPr>
      <w:r>
        <w:rPr>
          <w:rFonts w:ascii="Arial" w:cs="Arial" w:eastAsia="Arial" w:hAnsi="Arial"/>
          <w:color w:val="4E5B53"/>
          <w:sz w:val="24"/>
          <w:szCs w:val="24"/>
        </w:rPr>
        <w:t xml:space="preserve">Companion to the Raise product case study</w:t>
      </w:r>
    </w:p>
    <w:p>
      <w:pPr>
        <w:spacing w:after="120" w:before="0" w:line="300"/>
      </w:pPr>
      <w:r>
        <w:rPr>
          <w:rFonts w:ascii="Arial" w:cs="Arial" w:eastAsia="Arial" w:hAnsi="Arial"/>
          <w:color w:val="15201A"/>
          <w:sz w:val="21"/>
          <w:szCs w:val="21"/>
        </w:rPr>
        <w:t xml:space="preserve">Prepared by </w:t>
      </w:r>
      <w:r>
        <w:rPr>
          <w:rFonts w:ascii="Arial" w:cs="Arial" w:eastAsia="Arial" w:hAnsi="Arial"/>
          <w:b/>
          <w:bCs/>
          <w:color w:val="15201A"/>
          <w:sz w:val="21"/>
          <w:szCs w:val="21"/>
        </w:rPr>
        <w:t xml:space="preserve">Himanshu Shukla</w:t>
      </w:r>
    </w:p>
    <w:p>
      <w:pPr>
        <w:spacing w:after="120" w:before="0" w:line="300"/>
      </w:pPr>
      <w:r>
        <w:rPr>
          <w:rFonts w:ascii="Arial" w:cs="Arial" w:eastAsia="Arial" w:hAnsi="Arial"/>
          <w:color w:val="15201A"/>
          <w:sz w:val="21"/>
          <w:szCs w:val="21"/>
        </w:rPr>
        <w:t xml:space="preserve">Live prototype: https://shuklahimanshu20.github.io/Raise_project/</w:t>
      </w:r>
    </w:p>
    <w:p>
      <w:r>
        <w:br w:type="page"/>
      </w:r>
    </w:p>
    <w:p>
      <w:pPr>
        <w:pStyle w:val="Heading1"/>
      </w:pPr>
      <w:r>
        <w:t xml:space="preserve">Contents</w:t>
      </w:r>
    </w:p>
    <w:p>
      <w:pPr>
        <w:tabs>
          <w:tab w:val="right" w:pos="9026" w:leader="dot"/>
        </w:tabs>
        <w:spacing w:after="90"/>
      </w:pPr>
      <w:r>
        <w:rPr>
          <w:rFonts w:ascii="Arial" w:cs="Arial" w:eastAsia="Arial" w:hAnsi="Arial"/>
          <w:color w:val="15201A"/>
          <w:sz w:val="22"/>
          <w:szCs w:val="22"/>
        </w:rPr>
        <w:t xml:space="preserve">Part A — PRD: Raise</w:t>
      </w:r>
      <w:r>
        <w:rPr>
          <w:rFonts w:ascii="Arial" w:cs="Arial" w:eastAsia="Arial" w:hAnsi="Arial"/>
          <w:color w:val="4E5B53"/>
          <w:sz w:val="22"/>
          <w:szCs w:val="22"/>
        </w:rPr>
        <w:t xml:space="preserve">	3</w:t>
      </w:r>
    </w:p>
    <w:p>
      <w:pPr>
        <w:tabs>
          <w:tab w:val="right" w:pos="9026" w:leader="dot"/>
        </w:tabs>
        <w:spacing w:after="90"/>
      </w:pPr>
      <w:r>
        <w:rPr>
          <w:rFonts w:ascii="Arial" w:cs="Arial" w:eastAsia="Arial" w:hAnsi="Arial"/>
          <w:color w:val="15201A"/>
          <w:sz w:val="22"/>
          <w:szCs w:val="22"/>
        </w:rPr>
        <w:t xml:space="preserve">1. Problem</w:t>
      </w:r>
      <w:r>
        <w:rPr>
          <w:rFonts w:ascii="Arial" w:cs="Arial" w:eastAsia="Arial" w:hAnsi="Arial"/>
          <w:color w:val="4E5B53"/>
          <w:sz w:val="22"/>
          <w:szCs w:val="22"/>
        </w:rPr>
        <w:t xml:space="preserve">	3</w:t>
      </w:r>
    </w:p>
    <w:p>
      <w:pPr>
        <w:tabs>
          <w:tab w:val="right" w:pos="9026" w:leader="dot"/>
        </w:tabs>
        <w:spacing w:after="90"/>
      </w:pPr>
      <w:r>
        <w:rPr>
          <w:rFonts w:ascii="Arial" w:cs="Arial" w:eastAsia="Arial" w:hAnsi="Arial"/>
          <w:color w:val="15201A"/>
          <w:sz w:val="22"/>
          <w:szCs w:val="22"/>
        </w:rPr>
        <w:t xml:space="preserve">2. User Persona</w:t>
      </w:r>
      <w:r>
        <w:rPr>
          <w:rFonts w:ascii="Arial" w:cs="Arial" w:eastAsia="Arial" w:hAnsi="Arial"/>
          <w:color w:val="4E5B53"/>
          <w:sz w:val="22"/>
          <w:szCs w:val="22"/>
        </w:rPr>
        <w:t xml:space="preserve">	3</w:t>
      </w:r>
    </w:p>
    <w:p>
      <w:pPr>
        <w:tabs>
          <w:tab w:val="right" w:pos="9026" w:leader="dot"/>
        </w:tabs>
        <w:spacing w:after="90"/>
      </w:pPr>
      <w:r>
        <w:rPr>
          <w:rFonts w:ascii="Arial" w:cs="Arial" w:eastAsia="Arial" w:hAnsi="Arial"/>
          <w:color w:val="15201A"/>
          <w:sz w:val="22"/>
          <w:szCs w:val="22"/>
        </w:rPr>
        <w:t xml:space="preserve">3. Success Metrics</w:t>
      </w:r>
      <w:r>
        <w:rPr>
          <w:rFonts w:ascii="Arial" w:cs="Arial" w:eastAsia="Arial" w:hAnsi="Arial"/>
          <w:color w:val="4E5B53"/>
          <w:sz w:val="22"/>
          <w:szCs w:val="22"/>
        </w:rPr>
        <w:t xml:space="preserve">	3</w:t>
      </w:r>
    </w:p>
    <w:p>
      <w:pPr>
        <w:tabs>
          <w:tab w:val="right" w:pos="9026" w:leader="dot"/>
        </w:tabs>
        <w:spacing w:after="90"/>
      </w:pPr>
      <w:r>
        <w:rPr>
          <w:rFonts w:ascii="Arial" w:cs="Arial" w:eastAsia="Arial" w:hAnsi="Arial"/>
          <w:color w:val="15201A"/>
          <w:sz w:val="22"/>
          <w:szCs w:val="22"/>
        </w:rPr>
        <w:t xml:space="preserve">4. User Stories</w:t>
      </w:r>
      <w:r>
        <w:rPr>
          <w:rFonts w:ascii="Arial" w:cs="Arial" w:eastAsia="Arial" w:hAnsi="Arial"/>
          <w:color w:val="4E5B53"/>
          <w:sz w:val="22"/>
          <w:szCs w:val="22"/>
        </w:rPr>
        <w:t xml:space="preserve">	3</w:t>
      </w:r>
    </w:p>
    <w:p>
      <w:pPr>
        <w:tabs>
          <w:tab w:val="right" w:pos="9026" w:leader="dot"/>
        </w:tabs>
        <w:spacing w:after="90"/>
      </w:pPr>
      <w:r>
        <w:rPr>
          <w:rFonts w:ascii="Arial" w:cs="Arial" w:eastAsia="Arial" w:hAnsi="Arial"/>
          <w:color w:val="15201A"/>
          <w:sz w:val="22"/>
          <w:szCs w:val="22"/>
        </w:rPr>
        <w:t xml:space="preserve">5. Acceptance Criteria</w:t>
      </w:r>
      <w:r>
        <w:rPr>
          <w:rFonts w:ascii="Arial" w:cs="Arial" w:eastAsia="Arial" w:hAnsi="Arial"/>
          <w:color w:val="4E5B53"/>
          <w:sz w:val="22"/>
          <w:szCs w:val="22"/>
        </w:rPr>
        <w:t xml:space="preserve">	4</w:t>
      </w:r>
    </w:p>
    <w:p>
      <w:pPr>
        <w:tabs>
          <w:tab w:val="right" w:pos="9026" w:leader="dot"/>
        </w:tabs>
        <w:spacing w:after="90"/>
      </w:pPr>
      <w:r>
        <w:rPr>
          <w:rFonts w:ascii="Arial" w:cs="Arial" w:eastAsia="Arial" w:hAnsi="Arial"/>
          <w:color w:val="15201A"/>
          <w:sz w:val="22"/>
          <w:szCs w:val="22"/>
        </w:rPr>
        <w:t xml:space="preserve">6. Test Cases</w:t>
      </w:r>
      <w:r>
        <w:rPr>
          <w:rFonts w:ascii="Arial" w:cs="Arial" w:eastAsia="Arial" w:hAnsi="Arial"/>
          <w:color w:val="4E5B53"/>
          <w:sz w:val="22"/>
          <w:szCs w:val="22"/>
        </w:rPr>
        <w:t xml:space="preserve">	5</w:t>
      </w:r>
    </w:p>
    <w:p>
      <w:pPr>
        <w:tabs>
          <w:tab w:val="right" w:pos="9026" w:leader="dot"/>
        </w:tabs>
        <w:spacing w:after="90"/>
      </w:pPr>
      <w:r>
        <w:rPr>
          <w:rFonts w:ascii="Arial" w:cs="Arial" w:eastAsia="Arial" w:hAnsi="Arial"/>
          <w:color w:val="15201A"/>
          <w:sz w:val="22"/>
          <w:szCs w:val="22"/>
        </w:rPr>
        <w:t xml:space="preserve">Part B — User Flows</w:t>
      </w:r>
      <w:r>
        <w:rPr>
          <w:rFonts w:ascii="Arial" w:cs="Arial" w:eastAsia="Arial" w:hAnsi="Arial"/>
          <w:color w:val="4E5B53"/>
          <w:sz w:val="22"/>
          <w:szCs w:val="22"/>
        </w:rPr>
        <w:t xml:space="preserve">	8</w:t>
      </w:r>
    </w:p>
    <w:p>
      <w:pPr>
        <w:tabs>
          <w:tab w:val="right" w:pos="9026" w:leader="dot"/>
        </w:tabs>
        <w:spacing w:after="90"/>
      </w:pPr>
      <w:r>
        <w:rPr>
          <w:rFonts w:ascii="Arial" w:cs="Arial" w:eastAsia="Arial" w:hAnsi="Arial"/>
          <w:color w:val="15201A"/>
          <w:sz w:val="22"/>
          <w:szCs w:val="22"/>
        </w:rPr>
        <w:t xml:space="preserve">Part C — User Journey Maps</w:t>
      </w:r>
      <w:r>
        <w:rPr>
          <w:rFonts w:ascii="Arial" w:cs="Arial" w:eastAsia="Arial" w:hAnsi="Arial"/>
          <w:color w:val="4E5B53"/>
          <w:sz w:val="22"/>
          <w:szCs w:val="22"/>
        </w:rPr>
        <w:t xml:space="preserve">	10</w:t>
      </w:r>
    </w:p>
    <w:p>
      <w:pPr>
        <w:tabs>
          <w:tab w:val="right" w:pos="9026" w:leader="dot"/>
        </w:tabs>
        <w:spacing w:after="90"/>
      </w:pPr>
      <w:r>
        <w:rPr>
          <w:rFonts w:ascii="Arial" w:cs="Arial" w:eastAsia="Arial" w:hAnsi="Arial"/>
          <w:color w:val="15201A"/>
          <w:sz w:val="22"/>
          <w:szCs w:val="22"/>
        </w:rPr>
        <w:t xml:space="preserve">Part D — Wireframes of Key Screens</w:t>
      </w:r>
      <w:r>
        <w:rPr>
          <w:rFonts w:ascii="Arial" w:cs="Arial" w:eastAsia="Arial" w:hAnsi="Arial"/>
          <w:color w:val="4E5B53"/>
          <w:sz w:val="22"/>
          <w:szCs w:val="22"/>
        </w:rPr>
        <w:t xml:space="preserve">	13</w:t>
      </w:r>
    </w:p>
    <w:p>
      <w:pPr>
        <w:tabs>
          <w:tab w:val="right" w:pos="9026" w:leader="dot"/>
        </w:tabs>
        <w:spacing w:after="90"/>
      </w:pPr>
      <w:r>
        <w:rPr>
          <w:rFonts w:ascii="Arial" w:cs="Arial" w:eastAsia="Arial" w:hAnsi="Arial"/>
          <w:color w:val="15201A"/>
          <w:sz w:val="22"/>
          <w:szCs w:val="22"/>
        </w:rPr>
        <w:t xml:space="preserve">Part E — Notes on Key Design Decisions</w:t>
      </w:r>
      <w:r>
        <w:rPr>
          <w:rFonts w:ascii="Arial" w:cs="Arial" w:eastAsia="Arial" w:hAnsi="Arial"/>
          <w:color w:val="4E5B53"/>
          <w:sz w:val="22"/>
          <w:szCs w:val="22"/>
        </w:rPr>
        <w:t xml:space="preserve">	16</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DCEBDD" w:color="auto" w:val="clear"/>
            <w:tcMar>
              <w:top w:type="dxa" w:w="140"/>
              <w:left w:type="dxa" w:w="200"/>
              <w:bottom w:type="dxa" w:w="140"/>
              <w:right w:type="dxa" w:w="200"/>
            </w:tcMar>
          </w:tcPr>
          <w:p>
            <w:pPr>
              <w:spacing w:after="60"/>
            </w:pPr>
            <w:r>
              <w:rPr>
                <w:rFonts w:ascii="Arial" w:cs="Arial" w:eastAsia="Arial" w:hAnsi="Arial"/>
                <w:b/>
                <w:bCs/>
                <w:color w:val="1E4D3B"/>
                <w:sz w:val="21"/>
                <w:szCs w:val="21"/>
              </w:rPr>
              <w:t xml:space="preserve">Conventions</w:t>
            </w:r>
          </w:p>
          <w:p>
            <w:pPr>
              <w:spacing w:after="50" w:line="280"/>
            </w:pPr>
            <w:r>
              <w:rPr>
                <w:rFonts w:ascii="Arial" w:cs="Arial" w:eastAsia="Arial" w:hAnsi="Arial"/>
                <w:b/>
                <w:bCs/>
                <w:color w:val="15201A"/>
                <w:sz w:val="20"/>
                <w:szCs w:val="20"/>
              </w:rPr>
              <w:t xml:space="preserve">[NEEDS INPUT: …]</w:t>
            </w:r>
            <w:r>
              <w:rPr>
                <w:rFonts w:ascii="Arial" w:cs="Arial" w:eastAsia="Arial" w:hAnsi="Arial"/>
                <w:color w:val="15201A"/>
                <w:sz w:val="20"/>
                <w:szCs w:val="20"/>
              </w:rPr>
              <w:t xml:space="preserve"> marks a gap to fill. </w:t>
            </w:r>
            <w:r>
              <w:rPr>
                <w:rFonts w:ascii="Arial" w:cs="Arial" w:eastAsia="Arial" w:hAnsi="Arial"/>
                <w:b/>
                <w:bCs/>
                <w:color w:val="15201A"/>
                <w:sz w:val="20"/>
                <w:szCs w:val="20"/>
              </w:rPr>
              <w:t xml:space="preserve">[TARGET NEEDED]</w:t>
            </w:r>
            <w:r>
              <w:rPr>
                <w:rFonts w:ascii="Arial" w:cs="Arial" w:eastAsia="Arial" w:hAnsi="Arial"/>
                <w:color w:val="15201A"/>
                <w:sz w:val="20"/>
                <w:szCs w:val="20"/>
              </w:rPr>
              <w:t xml:space="preserve"> marks a metric target with no data yet. Personas and journeys are illustrative. Screens and behaviour marked “as built” were verified from the live prototype’s source.</w:t>
            </w:r>
          </w:p>
        </w:tc>
      </w:tr>
    </w:tbl>
    <w:p>
      <w:pPr>
        <w:pStyle w:val="Heading1"/>
        <w:pageBreakBefore/>
      </w:pPr>
      <w:r>
        <w:t xml:space="preserve">Part A — PRD: Raise</w:t>
      </w:r>
    </w:p>
    <w:p>
      <w:pPr>
        <w:spacing w:after="120" w:before="0" w:line="300"/>
      </w:pPr>
      <w:r>
        <w:rPr>
          <w:rFonts w:ascii="Arial" w:cs="Arial" w:eastAsia="Arial" w:hAnsi="Arial"/>
          <w:i/>
          <w:iCs/>
          <w:color w:val="4E5B53"/>
          <w:sz w:val="21"/>
          <w:szCs w:val="21"/>
        </w:rPr>
        <w:t xml:space="preserve">Six sections in fixed order. Every number not taken from the build is flagged.</w:t>
      </w:r>
    </w:p>
    <w:p>
      <w:pPr>
        <w:pStyle w:val="Heading2"/>
        <w:keepNext/>
      </w:pPr>
      <w:r>
        <w:t xml:space="preserve">1. Problem</w:t>
      </w:r>
    </w:p>
    <w:p>
      <w:pPr>
        <w:spacing w:after="120" w:before="0" w:line="300"/>
      </w:pPr>
      <w:r>
        <w:rPr>
          <w:rFonts w:ascii="Arial" w:cs="Arial" w:eastAsia="Arial" w:hAnsi="Arial"/>
          <w:color w:val="15201A"/>
          <w:sz w:val="21"/>
          <w:szCs w:val="21"/>
        </w:rPr>
        <w:t xml:space="preserve">Parents of 14–19-year-olds want to talk with their teens about money, relationships, puberty, consent, online safety and pornography, but most were never taught these conversations and lack the words to begin. Talks are postponed, avoided, or happen once as a lecture after something has gone wrong. Teens learn from friends, the internet and pornography instead, and stop seeing their parent as a safe person to go to.</w:t>
      </w:r>
    </w:p>
    <w:p>
      <w:pPr>
        <w:spacing w:after="120" w:before="0" w:line="300"/>
      </w:pPr>
      <w:r>
        <w:rPr>
          <w:rFonts w:ascii="Arial" w:cs="Arial" w:eastAsia="Arial" w:hAnsi="Arial"/>
          <w:b/>
          <w:bCs/>
          <w:color w:val="15201A"/>
          <w:sz w:val="21"/>
          <w:szCs w:val="21"/>
        </w:rPr>
        <w:t xml:space="preserve">Product response:</w:t>
      </w:r>
      <w:r>
        <w:rPr>
          <w:rFonts w:ascii="Arial" w:cs="Arial" w:eastAsia="Arial" w:hAnsi="Arial"/>
          <w:color w:val="15201A"/>
          <w:sz w:val="21"/>
          <w:szCs w:val="21"/>
        </w:rPr>
        <w:t xml:space="preserve"> a five-minute, topic-specific preparation guide; the talk happens offline in the parent’s words; a two-minute reflection sets up the next talk. Research and sources are in the main case study, Section 4.</w:t>
      </w:r>
    </w:p>
    <w:p>
      <w:pPr>
        <w:pStyle w:val="Heading2"/>
        <w:keepNext/>
      </w:pPr>
      <w:r>
        <w:t xml:space="preserve">2. User Persona</w:t>
      </w:r>
    </w:p>
    <w:p>
      <w:pPr>
        <w:spacing w:after="120" w:before="0" w:line="300"/>
      </w:pPr>
      <w:r>
        <w:rPr>
          <w:rFonts w:ascii="Arial" w:cs="Arial" w:eastAsia="Arial" w:hAnsi="Arial"/>
          <w:b/>
          <w:bCs/>
          <w:color w:val="15201A"/>
          <w:sz w:val="21"/>
          <w:szCs w:val="21"/>
        </w:rPr>
        <w:t xml:space="preserve">Primary user:</w:t>
      </w:r>
      <w:r>
        <w:rPr>
          <w:rFonts w:ascii="Arial" w:cs="Arial" w:eastAsia="Arial" w:hAnsi="Arial"/>
          <w:color w:val="15201A"/>
          <w:sz w:val="21"/>
          <w:szCs w:val="21"/>
        </w:rPr>
        <w:t xml:space="preserve"> a parent aged 35–60 of a teen aged 14–19. The parent is the only user; the teen never sees the app. Launch geography: </w:t>
      </w:r>
      <w:r>
        <w:rPr>
          <w:rFonts w:ascii="Arial" w:cs="Arial" w:eastAsia="Arial" w:hAnsi="Arial"/>
          <w:b/>
          <w:bCs/>
          <w:color w:val="8A3517"/>
          <w:sz w:val="21"/>
          <w:szCs w:val="21"/>
        </w:rPr>
        <w:t xml:space="preserve">[NEEDS INPUT]</w:t>
      </w:r>
      <w:r>
        <w:rPr>
          <w:rFonts w:ascii="Arial" w:cs="Arial" w:eastAsia="Arial" w:hAnsi="Arial"/>
          <w:color w:val="15201A"/>
          <w:sz w:val="21"/>
          <w:szCs w:val="21"/>
        </w:rPr>
        <w:t xml:space="preserve">.</w:t>
      </w:r>
    </w:p>
    <w:p>
      <w:pPr>
        <w:spacing w:after="120" w:before="0" w:line="300"/>
      </w:pPr>
      <w:r>
        <w:rPr>
          <w:rFonts w:ascii="Arial" w:cs="Arial" w:eastAsia="Arial" w:hAnsi="Arial"/>
          <w:color w:val="15201A"/>
          <w:sz w:val="21"/>
          <w:szCs w:val="21"/>
        </w:rPr>
        <w:t xml:space="preserve">Illustrative personas (not based on research), detailed in the main case study: </w:t>
      </w:r>
      <w:r>
        <w:rPr>
          <w:rFonts w:ascii="Arial" w:cs="Arial" w:eastAsia="Arial" w:hAnsi="Arial"/>
          <w:b/>
          <w:bCs/>
          <w:color w:val="15201A"/>
          <w:sz w:val="21"/>
          <w:szCs w:val="21"/>
        </w:rPr>
        <w:t xml:space="preserve">Sunita</w:t>
      </w:r>
      <w:r>
        <w:rPr>
          <w:rFonts w:ascii="Arial" w:cs="Arial" w:eastAsia="Arial" w:hAnsi="Arial"/>
          <w:color w:val="15201A"/>
          <w:sz w:val="21"/>
          <w:szCs w:val="21"/>
        </w:rPr>
        <w:t xml:space="preserve">, 44, wordless but willing (daughter 15); </w:t>
      </w:r>
      <w:r>
        <w:rPr>
          <w:rFonts w:ascii="Arial" w:cs="Arial" w:eastAsia="Arial" w:hAnsi="Arial"/>
          <w:b/>
          <w:bCs/>
          <w:color w:val="15201A"/>
          <w:sz w:val="21"/>
          <w:szCs w:val="21"/>
        </w:rPr>
        <w:t xml:space="preserve">Rajesh</w:t>
      </w:r>
      <w:r>
        <w:rPr>
          <w:rFonts w:ascii="Arial" w:cs="Arial" w:eastAsia="Arial" w:hAnsi="Arial"/>
          <w:color w:val="15201A"/>
          <w:sz w:val="21"/>
          <w:szCs w:val="21"/>
        </w:rPr>
        <w:t xml:space="preserve">, 52, repairing after a bad attempt (son 18); </w:t>
      </w:r>
      <w:r>
        <w:rPr>
          <w:rFonts w:ascii="Arial" w:cs="Arial" w:eastAsia="Arial" w:hAnsi="Arial"/>
          <w:b/>
          <w:bCs/>
          <w:color w:val="15201A"/>
          <w:sz w:val="21"/>
          <w:szCs w:val="21"/>
        </w:rPr>
        <w:t xml:space="preserve">Farah</w:t>
      </w:r>
      <w:r>
        <w:rPr>
          <w:rFonts w:ascii="Arial" w:cs="Arial" w:eastAsia="Arial" w:hAnsi="Arial"/>
          <w:color w:val="15201A"/>
          <w:sz w:val="21"/>
          <w:szCs w:val="21"/>
        </w:rPr>
        <w:t xml:space="preserve">, 38, time-poor solo parent (son 14).</w:t>
      </w:r>
    </w:p>
    <w:p>
      <w:pPr>
        <w:pStyle w:val="Heading2"/>
        <w:keepNext/>
      </w:pPr>
      <w:r>
        <w:t xml:space="preserve">3.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10"/>
        <w:gridCol w:w="5641"/>
        <w:gridCol w:w="1975"/>
      </w:tblGrid>
      <w:tr>
        <w:trPr>
          <w:cantSplit/>
          <w:tblHeader/>
        </w:trPr>
        <w:tc>
          <w:tcPr>
            <w:tcW w:type="dxa" w:w="1410"/>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Type</w:t>
            </w:r>
          </w:p>
        </w:tc>
        <w:tc>
          <w:tcPr>
            <w:tcW w:type="dxa" w:w="5641"/>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Metric</w:t>
            </w:r>
          </w:p>
        </w:tc>
        <w:tc>
          <w:tcPr>
            <w:tcW w:type="dxa" w:w="1975"/>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Target</w:t>
            </w:r>
          </w:p>
        </w:tc>
      </w:tr>
      <w:tr>
        <w:trPr>
          <w:cantSplit/>
        </w:trPr>
        <w:tc>
          <w:tcPr>
            <w:tcW w:type="dxa" w:w="141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North Star</w:t>
            </w:r>
          </w:p>
        </w:tc>
        <w:tc>
          <w:tcPr>
            <w:tcW w:type="dxa" w:w="56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Completed Conversations per month (prepared + time-gated “I’ve had it” + detailed reflection within 7 days)</w:t>
            </w:r>
          </w:p>
        </w:tc>
        <w:tc>
          <w:tcPr>
            <w:tcW w:type="dxa" w:w="197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7"/>
                <w:szCs w:val="17"/>
              </w:rPr>
              <w:t xml:space="preserve">[TARGET NEEDED]</w:t>
            </w:r>
          </w:p>
        </w:tc>
      </w:tr>
      <w:tr>
        <w:trPr>
          <w:cantSplit/>
        </w:trPr>
        <w:tc>
          <w:tcPr>
            <w:tcW w:type="dxa" w:w="141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Core rate</w:t>
            </w:r>
          </w:p>
        </w:tc>
        <w:tc>
          <w:tcPr>
            <w:tcW w:type="dxa" w:w="56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Completed Conversation Rate = CCs ÷ guides finished</w:t>
            </w:r>
          </w:p>
        </w:tc>
        <w:tc>
          <w:tcPr>
            <w:tcW w:type="dxa" w:w="197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7"/>
                <w:szCs w:val="17"/>
              </w:rPr>
              <w:t xml:space="preserve">[TARGET NEEDED]</w:t>
            </w:r>
          </w:p>
        </w:tc>
      </w:tr>
      <w:tr>
        <w:trPr>
          <w:cantSplit/>
        </w:trPr>
        <w:tc>
          <w:tcPr>
            <w:tcW w:type="dxa" w:w="141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Leading</w:t>
            </w:r>
          </w:p>
        </w:tc>
        <w:tc>
          <w:tcPr>
            <w:tcW w:type="dxa" w:w="56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Prep → Talk within 72 hours</w:t>
            </w:r>
          </w:p>
        </w:tc>
        <w:tc>
          <w:tcPr>
            <w:tcW w:type="dxa" w:w="197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7"/>
                <w:szCs w:val="17"/>
              </w:rPr>
              <w:t xml:space="preserve">[TARGET NEEDED]</w:t>
            </w:r>
          </w:p>
        </w:tc>
      </w:tr>
      <w:tr>
        <w:trPr>
          <w:cantSplit/>
        </w:trPr>
        <w:tc>
          <w:tcPr>
            <w:tcW w:type="dxa" w:w="141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Leading</w:t>
            </w:r>
          </w:p>
        </w:tc>
        <w:tc>
          <w:tcPr>
            <w:tcW w:type="dxa" w:w="56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Prep completion (start → Ready step)</w:t>
            </w:r>
          </w:p>
        </w:tc>
        <w:tc>
          <w:tcPr>
            <w:tcW w:type="dxa" w:w="197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7"/>
                <w:szCs w:val="17"/>
              </w:rPr>
              <w:t xml:space="preserve">[TARGET NEEDED]</w:t>
            </w:r>
          </w:p>
        </w:tc>
      </w:tr>
      <w:tr>
        <w:trPr>
          <w:cantSplit/>
        </w:trPr>
        <w:tc>
          <w:tcPr>
            <w:tcW w:type="dxa" w:w="141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Leading</w:t>
            </w:r>
          </w:p>
        </w:tc>
        <w:tc>
          <w:tcPr>
            <w:tcW w:type="dxa" w:w="56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Next-talk start within its window</w:t>
            </w:r>
          </w:p>
        </w:tc>
        <w:tc>
          <w:tcPr>
            <w:tcW w:type="dxa" w:w="197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7"/>
                <w:szCs w:val="17"/>
              </w:rPr>
              <w:t xml:space="preserve">[TARGET NEEDED]</w:t>
            </w:r>
          </w:p>
        </w:tc>
      </w:tr>
      <w:tr>
        <w:trPr>
          <w:cantSplit/>
        </w:trPr>
        <w:tc>
          <w:tcPr>
            <w:tcW w:type="dxa" w:w="141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Guardrail</w:t>
            </w:r>
          </w:p>
        </w:tc>
        <w:tc>
          <w:tcPr>
            <w:tcW w:type="dxa" w:w="56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Escalation miss rate (audit)</w:t>
            </w:r>
          </w:p>
        </w:tc>
        <w:tc>
          <w:tcPr>
            <w:tcW w:type="dxa" w:w="197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0 — any miss is an incident</w:t>
            </w:r>
          </w:p>
        </w:tc>
      </w:tr>
      <w:tr>
        <w:trPr>
          <w:cantSplit/>
        </w:trPr>
        <w:tc>
          <w:tcPr>
            <w:tcW w:type="dxa" w:w="141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Guardrail</w:t>
            </w:r>
          </w:p>
        </w:tc>
        <w:tc>
          <w:tcPr>
            <w:tcW w:type="dxa" w:w="564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Repeated-stall rate; “teen got upset” reports; time in app per CC</w:t>
            </w:r>
          </w:p>
        </w:tc>
        <w:tc>
          <w:tcPr>
            <w:tcW w:type="dxa" w:w="197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8A3517"/>
                <w:sz w:val="17"/>
                <w:szCs w:val="17"/>
              </w:rPr>
              <w:t xml:space="preserve">[TARGET NEEDED]</w:t>
            </w:r>
          </w:p>
        </w:tc>
      </w:tr>
    </w:tbl>
    <w:p>
      <w:pPr>
        <w:pStyle w:val="Heading2"/>
        <w:keepNext/>
      </w:pPr>
      <w:r>
        <w:t xml:space="preserve">4.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6"/>
        <w:gridCol w:w="1692"/>
        <w:gridCol w:w="6488"/>
      </w:tblGrid>
      <w:tr>
        <w:trPr>
          <w:cantSplit/>
          <w:tblHeader/>
        </w:trPr>
        <w:tc>
          <w:tcPr>
            <w:tcW w:type="dxa" w:w="84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ID</w:t>
            </w:r>
          </w:p>
        </w:tc>
        <w:tc>
          <w:tcPr>
            <w:tcW w:type="dxa" w:w="1692"/>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Theme</w:t>
            </w:r>
          </w:p>
        </w:tc>
        <w:tc>
          <w:tcPr>
            <w:tcW w:type="dxa" w:w="648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Story</w:t>
            </w:r>
          </w:p>
        </w:tc>
      </w:tr>
      <w:tr>
        <w:trPr>
          <w:cantSplit/>
        </w:trPr>
        <w:tc>
          <w:tcPr>
            <w:tcW w:type="dxa" w:w="84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US1</w:t>
            </w:r>
          </w:p>
        </w:tc>
        <w:tc>
          <w:tcPr>
            <w:tcW w:type="dxa" w:w="169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Onboarding</w:t>
            </w:r>
          </w:p>
        </w:tc>
        <w:tc>
          <w:tcPr>
            <w:tcW w:type="dxa" w:w="648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As a parent, I want to create an account and tell Raise my teen’s age band (and optionally their name), so that the guidance fits my teen.</w:t>
            </w:r>
          </w:p>
        </w:tc>
      </w:tr>
      <w:tr>
        <w:trPr>
          <w:cantSplit/>
        </w:trPr>
        <w:tc>
          <w:tcPr>
            <w:tcW w:type="dxa" w:w="84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US2</w:t>
            </w:r>
          </w:p>
        </w:tc>
        <w:tc>
          <w:tcPr>
            <w:tcW w:type="dxa" w:w="169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Choose topic</w:t>
            </w:r>
          </w:p>
        </w:tc>
        <w:tc>
          <w:tcPr>
            <w:tcW w:type="dxa" w:w="648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As a parent, I want to pick one of six topics, so that I prepare for the talk I’ve been putting off.</w:t>
            </w:r>
          </w:p>
        </w:tc>
      </w:tr>
      <w:tr>
        <w:trPr>
          <w:cantSplit/>
        </w:trPr>
        <w:tc>
          <w:tcPr>
            <w:tcW w:type="dxa" w:w="84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US3</w:t>
            </w:r>
          </w:p>
        </w:tc>
        <w:tc>
          <w:tcPr>
            <w:tcW w:type="dxa" w:w="169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Name the hard part</w:t>
            </w:r>
          </w:p>
        </w:tc>
        <w:tc>
          <w:tcPr>
            <w:tcW w:type="dxa" w:w="648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As a parent, I want to say what feels hardest about this talk, so that the advice tackles my actual fear.</w:t>
            </w:r>
          </w:p>
        </w:tc>
      </w:tr>
      <w:tr>
        <w:trPr>
          <w:cantSplit/>
        </w:trPr>
        <w:tc>
          <w:tcPr>
            <w:tcW w:type="dxa" w:w="84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US4</w:t>
            </w:r>
          </w:p>
        </w:tc>
        <w:tc>
          <w:tcPr>
            <w:tcW w:type="dxa" w:w="169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Understand</w:t>
            </w:r>
          </w:p>
        </w:tc>
        <w:tc>
          <w:tcPr>
            <w:tcW w:type="dxa" w:w="648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As a parent, I want three short points on what matters for this topic, so that I feel informed without reading an article.</w:t>
            </w:r>
          </w:p>
        </w:tc>
      </w:tr>
      <w:tr>
        <w:trPr>
          <w:cantSplit/>
        </w:trPr>
        <w:tc>
          <w:tcPr>
            <w:tcW w:type="dxa" w:w="84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US5</w:t>
            </w:r>
          </w:p>
        </w:tc>
        <w:tc>
          <w:tcPr>
            <w:tcW w:type="dxa" w:w="169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Start</w:t>
            </w:r>
          </w:p>
        </w:tc>
        <w:tc>
          <w:tcPr>
            <w:tcW w:type="dxa" w:w="648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As a parent, I want to choose one of three first sentences, so that I know exactly how to open.</w:t>
            </w:r>
          </w:p>
        </w:tc>
      </w:tr>
      <w:tr>
        <w:trPr>
          <w:cantSplit/>
        </w:trPr>
        <w:tc>
          <w:tcPr>
            <w:tcW w:type="dxa" w:w="84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US6</w:t>
            </w:r>
          </w:p>
        </w:tc>
        <w:tc>
          <w:tcPr>
            <w:tcW w:type="dxa" w:w="169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Anticipate</w:t>
            </w:r>
          </w:p>
        </w:tc>
        <w:tc>
          <w:tcPr>
            <w:tcW w:type="dxa" w:w="648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As a parent, I want to see what my teen might say and think of my answer before seeing a calm response, so that I don’t freeze.</w:t>
            </w:r>
          </w:p>
        </w:tc>
      </w:tr>
      <w:tr>
        <w:trPr>
          <w:cantSplit/>
        </w:trPr>
        <w:tc>
          <w:tcPr>
            <w:tcW w:type="dxa" w:w="84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US7</w:t>
            </w:r>
          </w:p>
        </w:tc>
        <w:tc>
          <w:tcPr>
            <w:tcW w:type="dxa" w:w="169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Avoid</w:t>
            </w:r>
          </w:p>
        </w:tc>
        <w:tc>
          <w:tcPr>
            <w:tcW w:type="dxa" w:w="648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As a parent, I want to know the common mistakes for this topic, so that I don’t shut the talk down.</w:t>
            </w:r>
          </w:p>
        </w:tc>
      </w:tr>
      <w:tr>
        <w:trPr>
          <w:cantSplit/>
        </w:trPr>
        <w:tc>
          <w:tcPr>
            <w:tcW w:type="dxa" w:w="84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US8</w:t>
            </w:r>
          </w:p>
        </w:tc>
        <w:tc>
          <w:tcPr>
            <w:tcW w:type="dxa" w:w="169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Pocket card</w:t>
            </w:r>
          </w:p>
        </w:tc>
        <w:tc>
          <w:tcPr>
            <w:tcW w:type="dxa" w:w="648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As a parent, I want a one-screen summary to glance at before and during the talk, so that I have a cue, not a script.</w:t>
            </w:r>
          </w:p>
        </w:tc>
      </w:tr>
      <w:tr>
        <w:trPr>
          <w:cantSplit/>
        </w:trPr>
        <w:tc>
          <w:tcPr>
            <w:tcW w:type="dxa" w:w="84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US9</w:t>
            </w:r>
          </w:p>
        </w:tc>
        <w:tc>
          <w:tcPr>
            <w:tcW w:type="dxa" w:w="169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Save for later</w:t>
            </w:r>
          </w:p>
        </w:tc>
        <w:tc>
          <w:tcPr>
            <w:tcW w:type="dxa" w:w="648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As a parent who isn’t ready tonight, I want to save the prep, so that I can come back to it.</w:t>
            </w:r>
          </w:p>
        </w:tc>
      </w:tr>
      <w:tr>
        <w:trPr>
          <w:cantSplit/>
        </w:trPr>
        <w:tc>
          <w:tcPr>
            <w:tcW w:type="dxa" w:w="84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US10</w:t>
            </w:r>
          </w:p>
        </w:tc>
        <w:tc>
          <w:tcPr>
            <w:tcW w:type="dxa" w:w="169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Reflect</w:t>
            </w:r>
          </w:p>
        </w:tc>
        <w:tc>
          <w:tcPr>
            <w:tcW w:type="dxa" w:w="648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As a parent, I want to record how it went in under two minutes, so that I learn from it.</w:t>
            </w:r>
          </w:p>
        </w:tc>
      </w:tr>
      <w:tr>
        <w:trPr>
          <w:cantSplit/>
        </w:trPr>
        <w:tc>
          <w:tcPr>
            <w:tcW w:type="dxa" w:w="84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US11</w:t>
            </w:r>
          </w:p>
        </w:tc>
        <w:tc>
          <w:tcPr>
            <w:tcW w:type="dxa" w:w="169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Next talk</w:t>
            </w:r>
          </w:p>
        </w:tc>
        <w:tc>
          <w:tcPr>
            <w:tcW w:type="dxa" w:w="648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As a parent, I want Raise to tell me what to talk about next and when, so that one talk becomes many.</w:t>
            </w:r>
          </w:p>
        </w:tc>
      </w:tr>
      <w:tr>
        <w:trPr>
          <w:cantSplit/>
        </w:trPr>
        <w:tc>
          <w:tcPr>
            <w:tcW w:type="dxa" w:w="84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US12</w:t>
            </w:r>
          </w:p>
        </w:tc>
        <w:tc>
          <w:tcPr>
            <w:tcW w:type="dxa" w:w="169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Safety</w:t>
            </w:r>
          </w:p>
        </w:tc>
        <w:tc>
          <w:tcPr>
            <w:tcW w:type="dxa" w:w="648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As a parent whose teen disclosed something serious, I want clear next steps and the right helpline, so that I get my teen real help.</w:t>
            </w:r>
          </w:p>
        </w:tc>
      </w:tr>
      <w:tr>
        <w:trPr>
          <w:cantSplit/>
        </w:trPr>
        <w:tc>
          <w:tcPr>
            <w:tcW w:type="dxa" w:w="84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US13</w:t>
            </w:r>
          </w:p>
        </w:tc>
        <w:tc>
          <w:tcPr>
            <w:tcW w:type="dxa" w:w="169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Journal</w:t>
            </w:r>
          </w:p>
        </w:tc>
        <w:tc>
          <w:tcPr>
            <w:tcW w:type="dxa" w:w="648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As a parent, I want a private history of our talks, so that I can see progress across topics.</w:t>
            </w:r>
          </w:p>
        </w:tc>
      </w:tr>
    </w:tbl>
    <w:p>
      <w:pPr>
        <w:spacing w:after="120" w:before="100" w:line="300"/>
      </w:pPr>
      <w:r>
        <w:rPr>
          <w:rFonts w:ascii="Arial" w:cs="Arial" w:eastAsia="Arial" w:hAnsi="Arial"/>
          <w:i/>
          <w:iCs/>
          <w:color w:val="4E5B53"/>
          <w:sz w:val="21"/>
          <w:szCs w:val="21"/>
        </w:rPr>
        <w:t xml:space="preserve">Consider also (flagged for review, not assumed in scope): a second parent preparing for the same teen; a parent with two teens of different ages; a parent who wants to delete all data.</w:t>
      </w:r>
    </w:p>
    <w:p>
      <w:pPr>
        <w:pStyle w:val="Heading2"/>
        <w:keepNext/>
      </w:pPr>
      <w:r>
        <w:t xml:space="preserve">5.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7"/>
        <w:gridCol w:w="8039"/>
      </w:tblGrid>
      <w:tr>
        <w:trPr>
          <w:cantSplit/>
          <w:tblHeader/>
        </w:trPr>
        <w:tc>
          <w:tcPr>
            <w:tcW w:type="dxa" w:w="987"/>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Story</w:t>
            </w:r>
          </w:p>
        </w:tc>
        <w:tc>
          <w:tcPr>
            <w:tcW w:type="dxa" w:w="8039"/>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Criteria (Given / When / Then)</w:t>
            </w:r>
          </w:p>
        </w:tc>
      </w:tr>
      <w:tr>
        <w:trPr>
          <w:cantSplit/>
        </w:trPr>
        <w:tc>
          <w:tcPr>
            <w:tcW w:type="dxa" w:w="98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US1</w:t>
            </w:r>
          </w:p>
        </w:tc>
        <w:tc>
          <w:tcPr>
            <w:tcW w:type="dxa" w:w="803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AC1.1 Given the sign-up screen, when name, valid email, username (≥ 3 characters), password (≥ 8) and a matching confirmation are entered, then the account is created and the teen screen opens.</w:t>
            </w:r>
          </w:p>
          <w:p>
            <w:pPr>
              <w:spacing w:after="40" w:line="260"/>
            </w:pPr>
            <w:r>
              <w:rPr>
                <w:rFonts w:ascii="Arial" w:cs="Arial" w:eastAsia="Arial" w:hAnsi="Arial"/>
                <w:b w:val="false"/>
                <w:bCs w:val="false"/>
                <w:color w:val="15201A"/>
                <w:sz w:val="17"/>
                <w:szCs w:val="17"/>
              </w:rPr>
              <w:t xml:space="preserve">AC1.2 Given any invalid field, when “Create account” is tapped, then that field is outlined in red and one plain-language error is shown.</w:t>
            </w:r>
          </w:p>
          <w:p>
            <w:pPr>
              <w:spacing w:after="40" w:line="260"/>
            </w:pPr>
            <w:r>
              <w:rPr>
                <w:rFonts w:ascii="Arial" w:cs="Arial" w:eastAsia="Arial" w:hAnsi="Arial"/>
                <w:b w:val="false"/>
                <w:bCs w:val="false"/>
                <w:color w:val="15201A"/>
                <w:sz w:val="17"/>
                <w:szCs w:val="17"/>
              </w:rPr>
              <w:t xml:space="preserve">AC1.3 Given the teen screen, when no age band is chosen, then Continue is disabled. Teen name is optional.</w:t>
            </w:r>
          </w:p>
          <w:p>
            <w:pPr>
              <w:spacing w:after="40" w:line="260"/>
            </w:pPr>
            <w:r>
              <w:rPr>
                <w:rFonts w:ascii="Arial" w:cs="Arial" w:eastAsia="Arial" w:hAnsi="Arial"/>
                <w:b w:val="false"/>
                <w:bCs w:val="false"/>
                <w:color w:val="15201A"/>
                <w:sz w:val="17"/>
                <w:szCs w:val="17"/>
              </w:rPr>
              <w:t xml:space="preserve">AC1.4 Given the teen screen, the age bands shown are 14–15, 16–17 and 18–19. [Change from build: currently 11–13, 14–15, 16–18]</w:t>
            </w:r>
          </w:p>
        </w:tc>
      </w:tr>
      <w:tr>
        <w:trPr>
          <w:cantSplit/>
        </w:trPr>
        <w:tc>
          <w:tcPr>
            <w:tcW w:type="dxa" w:w="98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US2</w:t>
            </w:r>
          </w:p>
        </w:tc>
        <w:tc>
          <w:tcPr>
            <w:tcW w:type="dxa" w:w="803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AC2.1 Given the topic screen, six topics are shown with a one-line description each.</w:t>
            </w:r>
          </w:p>
          <w:p>
            <w:pPr>
              <w:spacing w:after="40" w:line="260"/>
            </w:pPr>
            <w:r>
              <w:rPr>
                <w:rFonts w:ascii="Arial" w:cs="Arial" w:eastAsia="Arial" w:hAnsi="Arial"/>
                <w:b w:val="false"/>
                <w:bCs w:val="false"/>
                <w:color w:val="15201A"/>
                <w:sz w:val="17"/>
                <w:szCs w:val="17"/>
              </w:rPr>
              <w:t xml:space="preserve">AC2.2 Given no topic is selected, Continue is disabled; given one is selected, it is visibly marked.</w:t>
            </w:r>
          </w:p>
        </w:tc>
      </w:tr>
      <w:tr>
        <w:trPr>
          <w:cantSplit/>
        </w:trPr>
        <w:tc>
          <w:tcPr>
            <w:tcW w:type="dxa" w:w="98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US3</w:t>
            </w:r>
          </w:p>
        </w:tc>
        <w:tc>
          <w:tcPr>
            <w:tcW w:type="dxa" w:w="803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AC3.1 Given the difficulty screen, five difficulties are shown; the parent can pick one.</w:t>
            </w:r>
          </w:p>
          <w:p>
            <w:pPr>
              <w:spacing w:after="40" w:line="260"/>
            </w:pPr>
            <w:r>
              <w:rPr>
                <w:rFonts w:ascii="Arial" w:cs="Arial" w:eastAsia="Arial" w:hAnsi="Arial"/>
                <w:b w:val="false"/>
                <w:bCs w:val="false"/>
                <w:color w:val="15201A"/>
                <w:sz w:val="17"/>
                <w:szCs w:val="17"/>
              </w:rPr>
              <w:t xml:space="preserve">AC3.2 Given a difficulty is chosen, when the guide opens, the Start step shows the tip for that difficulty labelled “Because you said: …”.</w:t>
            </w:r>
          </w:p>
        </w:tc>
      </w:tr>
      <w:tr>
        <w:trPr>
          <w:cantSplit/>
        </w:trPr>
        <w:tc>
          <w:tcPr>
            <w:tcW w:type="dxa" w:w="98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US4</w:t>
            </w:r>
          </w:p>
        </w:tc>
        <w:tc>
          <w:tcPr>
            <w:tcW w:type="dxa" w:w="803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AC4.1 Given step 1 (Understand), the guide shows the parent’s real goal (with the teen’s name, or “your teen”) and three numbered points for the topic.</w:t>
            </w:r>
          </w:p>
          <w:p>
            <w:pPr>
              <w:spacing w:after="40" w:line="260"/>
            </w:pPr>
            <w:r>
              <w:rPr>
                <w:rFonts w:ascii="Arial" w:cs="Arial" w:eastAsia="Arial" w:hAnsi="Arial"/>
                <w:b w:val="false"/>
                <w:bCs w:val="false"/>
                <w:color w:val="15201A"/>
                <w:sz w:val="17"/>
                <w:szCs w:val="17"/>
              </w:rPr>
              <w:t xml:space="preserve">AC4.2 A progress bar shows step 1 of 5 and minutes left.</w:t>
            </w:r>
          </w:p>
        </w:tc>
      </w:tr>
      <w:tr>
        <w:trPr>
          <w:cantSplit/>
        </w:trPr>
        <w:tc>
          <w:tcPr>
            <w:tcW w:type="dxa" w:w="98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US5</w:t>
            </w:r>
          </w:p>
        </w:tc>
        <w:tc>
          <w:tcPr>
            <w:tcW w:type="dxa" w:w="803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AC5.1 Given step 2 (Start), three openers are shown; tapping one selects it and deselects the others.</w:t>
            </w:r>
          </w:p>
          <w:p>
            <w:pPr>
              <w:spacing w:after="40" w:line="260"/>
            </w:pPr>
            <w:r>
              <w:rPr>
                <w:rFonts w:ascii="Arial" w:cs="Arial" w:eastAsia="Arial" w:hAnsi="Arial"/>
                <w:b w:val="false"/>
                <w:bCs w:val="false"/>
                <w:color w:val="15201A"/>
                <w:sz w:val="17"/>
                <w:szCs w:val="17"/>
              </w:rPr>
              <w:t xml:space="preserve">AC5.2 Given no opener is chosen by the Ready step, the pocket card uses the first opener.</w:t>
            </w:r>
          </w:p>
        </w:tc>
      </w:tr>
      <w:tr>
        <w:trPr>
          <w:cantSplit/>
        </w:trPr>
        <w:tc>
          <w:tcPr>
            <w:tcW w:type="dxa" w:w="98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US6</w:t>
            </w:r>
          </w:p>
        </w:tc>
        <w:tc>
          <w:tcPr>
            <w:tcW w:type="dxa" w:w="803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AC6.1 Given step 3 (Anticipate), three teen questions are shown with responses hidden.</w:t>
            </w:r>
          </w:p>
          <w:p>
            <w:pPr>
              <w:spacing w:after="40" w:line="260"/>
            </w:pPr>
            <w:r>
              <w:rPr>
                <w:rFonts w:ascii="Arial" w:cs="Arial" w:eastAsia="Arial" w:hAnsi="Arial"/>
                <w:b w:val="false"/>
                <w:bCs w:val="false"/>
                <w:color w:val="15201A"/>
                <w:sz w:val="17"/>
                <w:szCs w:val="17"/>
              </w:rPr>
              <w:t xml:space="preserve">AC6.2 When the parent taps a question, its calm response is revealed; tapping again hides it.</w:t>
            </w:r>
          </w:p>
        </w:tc>
      </w:tr>
      <w:tr>
        <w:trPr>
          <w:cantSplit/>
        </w:trPr>
        <w:tc>
          <w:tcPr>
            <w:tcW w:type="dxa" w:w="98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US7</w:t>
            </w:r>
          </w:p>
        </w:tc>
        <w:tc>
          <w:tcPr>
            <w:tcW w:type="dxa" w:w="803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AC7.1 Given step 4 (Avoid), three mistakes with a reason each are shown, plus a “listen more than you talk” note.</w:t>
            </w:r>
          </w:p>
        </w:tc>
      </w:tr>
      <w:tr>
        <w:trPr>
          <w:cantSplit/>
        </w:trPr>
        <w:tc>
          <w:tcPr>
            <w:tcW w:type="dxa" w:w="98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US8</w:t>
            </w:r>
          </w:p>
        </w:tc>
        <w:tc>
          <w:tcPr>
            <w:tcW w:type="dxa" w:w="803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AC8.1 Given step 5 (Ready), the plan shows the chosen opener, one thing to remember and what to say if stuck, plus a four-item checklist.</w:t>
            </w:r>
          </w:p>
          <w:p>
            <w:pPr>
              <w:spacing w:after="40" w:line="260"/>
            </w:pPr>
            <w:r>
              <w:rPr>
                <w:rFonts w:ascii="Arial" w:cs="Arial" w:eastAsia="Arial" w:hAnsi="Arial"/>
                <w:b w:val="false"/>
                <w:bCs w:val="false"/>
                <w:color w:val="15201A"/>
                <w:sz w:val="17"/>
                <w:szCs w:val="17"/>
              </w:rPr>
              <w:t xml:space="preserve">AC8.2 Given the Go-talk screen, the pocket card shows opener, remember, avoid and if-stuck, and states that Raise does not listen, record or contact the teen.</w:t>
            </w:r>
          </w:p>
        </w:tc>
      </w:tr>
      <w:tr>
        <w:trPr>
          <w:cantSplit/>
        </w:trPr>
        <w:tc>
          <w:tcPr>
            <w:tcW w:type="dxa" w:w="98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US9</w:t>
            </w:r>
          </w:p>
        </w:tc>
        <w:tc>
          <w:tcPr>
            <w:tcW w:type="dxa" w:w="803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AC9.1 When “Not yet — save for later” is tapped, Home shows the talk as pending at the Talk stage with a way back into the pocket card.</w:t>
            </w:r>
          </w:p>
        </w:tc>
      </w:tr>
      <w:tr>
        <w:trPr>
          <w:cantSplit/>
        </w:trPr>
        <w:tc>
          <w:tcPr>
            <w:tcW w:type="dxa" w:w="98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US10</w:t>
            </w:r>
          </w:p>
        </w:tc>
        <w:tc>
          <w:tcPr>
            <w:tcW w:type="dxa" w:w="803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AC10.1 Given the Reflect screen, Save is disabled until one of three outcomes is chosen.</w:t>
            </w:r>
          </w:p>
          <w:p>
            <w:pPr>
              <w:spacing w:after="40" w:line="260"/>
            </w:pPr>
            <w:r>
              <w:rPr>
                <w:rFonts w:ascii="Arial" w:cs="Arial" w:eastAsia="Arial" w:hAnsi="Arial"/>
                <w:b w:val="false"/>
                <w:bCs w:val="false"/>
                <w:color w:val="15201A"/>
                <w:sz w:val="17"/>
                <w:szCs w:val="17"/>
              </w:rPr>
              <w:t xml:space="preserve">AC10.2 Any number of the eight chips can be toggled; the note is optional.</w:t>
            </w:r>
          </w:p>
          <w:p>
            <w:pPr>
              <w:spacing w:after="40" w:line="260"/>
            </w:pPr>
            <w:r>
              <w:rPr>
                <w:rFonts w:ascii="Arial" w:cs="Arial" w:eastAsia="Arial" w:hAnsi="Arial"/>
                <w:b w:val="false"/>
                <w:bCs w:val="false"/>
                <w:color w:val="15201A"/>
                <w:sz w:val="17"/>
                <w:szCs w:val="17"/>
              </w:rPr>
              <w:t xml:space="preserve">AC10.3 When saved, an entry with topic, outcome, chips, note and date is added to the journal.</w:t>
            </w:r>
          </w:p>
        </w:tc>
      </w:tr>
      <w:tr>
        <w:trPr>
          <w:cantSplit/>
        </w:trPr>
        <w:tc>
          <w:tcPr>
            <w:tcW w:type="dxa" w:w="98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US11</w:t>
            </w:r>
          </w:p>
        </w:tc>
        <w:tc>
          <w:tcPr>
            <w:tcW w:type="dxa" w:w="803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AC11.1 Given outcome “Went well”, the next talk is the linked topic, “in about a week”.</w:t>
            </w:r>
          </w:p>
          <w:p>
            <w:pPr>
              <w:spacing w:after="40" w:line="260"/>
            </w:pPr>
            <w:r>
              <w:rPr>
                <w:rFonts w:ascii="Arial" w:cs="Arial" w:eastAsia="Arial" w:hAnsi="Arial"/>
                <w:b w:val="false"/>
                <w:bCs w:val="false"/>
                <w:color w:val="15201A"/>
                <w:sz w:val="17"/>
                <w:szCs w:val="17"/>
              </w:rPr>
              <w:t xml:space="preserve">AC11.2 Given “Stalled”, the next talk is the same topic, “in 3–4 days”, with a lighter approach.</w:t>
            </w:r>
          </w:p>
          <w:p>
            <w:pPr>
              <w:spacing w:after="40" w:line="260"/>
            </w:pPr>
            <w:r>
              <w:rPr>
                <w:rFonts w:ascii="Arial" w:cs="Arial" w:eastAsia="Arial" w:hAnsi="Arial"/>
                <w:b w:val="false"/>
                <w:bCs w:val="false"/>
                <w:color w:val="15201A"/>
                <w:sz w:val="17"/>
                <w:szCs w:val="17"/>
              </w:rPr>
              <w:t xml:space="preserve">AC11.3 Given “Something unexpected”, the next talk is the same topic “within 48 hours”, focused on answering questions.</w:t>
            </w:r>
          </w:p>
          <w:p>
            <w:pPr>
              <w:spacing w:after="40" w:line="260"/>
            </w:pPr>
            <w:r>
              <w:rPr>
                <w:rFonts w:ascii="Arial" w:cs="Arial" w:eastAsia="Arial" w:hAnsi="Arial"/>
                <w:b w:val="false"/>
                <w:bCs w:val="false"/>
                <w:color w:val="15201A"/>
                <w:sz w:val="17"/>
                <w:szCs w:val="17"/>
              </w:rPr>
              <w:t xml:space="preserve">AC11.4 “Prepare next talk” opens a new guide for that topic and difficulty.</w:t>
            </w:r>
          </w:p>
        </w:tc>
      </w:tr>
      <w:tr>
        <w:trPr>
          <w:cantSplit/>
        </w:trPr>
        <w:tc>
          <w:tcPr>
            <w:tcW w:type="dxa" w:w="98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US12</w:t>
            </w:r>
          </w:p>
        </w:tc>
        <w:tc>
          <w:tcPr>
            <w:tcW w:type="dxa" w:w="803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AC12.1 Given a reflection note matching an escalation rule (Level 2 or 3), when saved, the insight screen shows the matching safety card first, with helpline numbers as tap-to-call links. [Not built]</w:t>
            </w:r>
          </w:p>
          <w:p>
            <w:pPr>
              <w:spacing w:after="40" w:line="260"/>
            </w:pPr>
            <w:r>
              <w:rPr>
                <w:rFonts w:ascii="Arial" w:cs="Arial" w:eastAsia="Arial" w:hAnsi="Arial"/>
                <w:b w:val="false"/>
                <w:bCs w:val="false"/>
                <w:color w:val="15201A"/>
                <w:sz w:val="17"/>
                <w:szCs w:val="17"/>
              </w:rPr>
              <w:t xml:space="preserve">AC12.2 Given a Level 3 match, no conversation script or next-talk prep is suggested for that topic until the parent dismisses the card.</w:t>
            </w:r>
          </w:p>
          <w:p>
            <w:pPr>
              <w:spacing w:after="40" w:line="260"/>
            </w:pPr>
            <w:r>
              <w:rPr>
                <w:rFonts w:ascii="Arial" w:cs="Arial" w:eastAsia="Arial" w:hAnsi="Arial"/>
                <w:b w:val="false"/>
                <w:bCs w:val="false"/>
                <w:color w:val="15201A"/>
                <w:sz w:val="17"/>
                <w:szCs w:val="17"/>
              </w:rPr>
              <w:t xml:space="preserve">AC12.3 Given a note with no match, the normal insight is shown.</w:t>
            </w:r>
          </w:p>
        </w:tc>
      </w:tr>
      <w:tr>
        <w:trPr>
          <w:cantSplit/>
        </w:trPr>
        <w:tc>
          <w:tcPr>
            <w:tcW w:type="dxa" w:w="987"/>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US13</w:t>
            </w:r>
          </w:p>
        </w:tc>
        <w:tc>
          <w:tcPr>
            <w:tcW w:type="dxa" w:w="803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AC13.1 Given the Journal, every saved talk shows topic, date, outcome, chips and note, newest first.</w:t>
            </w:r>
          </w:p>
          <w:p>
            <w:pPr>
              <w:spacing w:after="40" w:line="260"/>
            </w:pPr>
            <w:r>
              <w:rPr>
                <w:rFonts w:ascii="Arial" w:cs="Arial" w:eastAsia="Arial" w:hAnsi="Arial"/>
                <w:b w:val="false"/>
                <w:bCs w:val="false"/>
                <w:color w:val="15201A"/>
                <w:sz w:val="17"/>
                <w:szCs w:val="17"/>
              </w:rPr>
              <w:t xml:space="preserve">AC13.2 Home shows talks had and topics covered out of six.</w:t>
            </w:r>
          </w:p>
          <w:p>
            <w:pPr>
              <w:spacing w:after="40" w:line="260"/>
            </w:pPr>
            <w:r>
              <w:rPr>
                <w:rFonts w:ascii="Arial" w:cs="Arial" w:eastAsia="Arial" w:hAnsi="Arial"/>
                <w:b w:val="false"/>
                <w:bCs w:val="false"/>
                <w:color w:val="15201A"/>
                <w:sz w:val="17"/>
                <w:szCs w:val="17"/>
              </w:rPr>
              <w:t xml:space="preserve">AC13.3 Journal entries persist after the app is closed. [Not built — prototype resets on reload]</w:t>
            </w:r>
          </w:p>
        </w:tc>
      </w:tr>
    </w:tbl>
    <w:p>
      <w:pPr>
        <w:pStyle w:val="Heading2"/>
        <w:keepNext/>
      </w:pPr>
      <w:r>
        <w:t xml:space="preserve">6. Test Cases</w:t>
      </w:r>
    </w:p>
    <w:p>
      <w:pPr>
        <w:spacing w:after="120" w:before="0" w:line="300"/>
      </w:pPr>
      <w:r>
        <w:rPr>
          <w:rFonts w:ascii="Arial" w:cs="Arial" w:eastAsia="Arial" w:hAnsi="Arial"/>
          <w:i/>
          <w:iCs/>
          <w:color w:val="4E5B53"/>
          <w:sz w:val="21"/>
          <w:szCs w:val="21"/>
        </w:rPr>
        <w:t xml:space="preserve">TC6, TC20 and TC23 fail on the current prototype by design — they test V1 work not yet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4"/>
        <w:gridCol w:w="915"/>
        <w:gridCol w:w="1962"/>
        <w:gridCol w:w="2616"/>
        <w:gridCol w:w="2879"/>
      </w:tblGrid>
      <w:tr>
        <w:trPr>
          <w:cantSplit/>
          <w:tblHeader/>
        </w:trPr>
        <w:tc>
          <w:tcPr>
            <w:tcW w:type="dxa" w:w="654"/>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5"/>
                <w:szCs w:val="15"/>
              </w:rPr>
              <w:t xml:space="preserve">ID</w:t>
            </w:r>
          </w:p>
        </w:tc>
        <w:tc>
          <w:tcPr>
            <w:tcW w:type="dxa" w:w="915"/>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5"/>
                <w:szCs w:val="15"/>
              </w:rPr>
              <w:t xml:space="preserve">Maps to</w:t>
            </w:r>
          </w:p>
        </w:tc>
        <w:tc>
          <w:tcPr>
            <w:tcW w:type="dxa" w:w="1962"/>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5"/>
                <w:szCs w:val="15"/>
              </w:rPr>
              <w:t xml:space="preserve">Test</w:t>
            </w:r>
          </w:p>
        </w:tc>
        <w:tc>
          <w:tcPr>
            <w:tcW w:type="dxa" w:w="261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5"/>
                <w:szCs w:val="15"/>
              </w:rPr>
              <w:t xml:space="preserve">Input / steps</w:t>
            </w:r>
          </w:p>
        </w:tc>
        <w:tc>
          <w:tcPr>
            <w:tcW w:type="dxa" w:w="2879"/>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5"/>
                <w:szCs w:val="15"/>
              </w:rPr>
              <w:t xml:space="preserve">Expected result</w:t>
            </w:r>
          </w:p>
        </w:tc>
      </w:tr>
      <w:tr>
        <w:trPr>
          <w:cantSplit/>
        </w:trPr>
        <w:tc>
          <w:tcPr>
            <w:tcW w:type="dxa" w:w="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TC1</w:t>
            </w:r>
          </w:p>
        </w:tc>
        <w:tc>
          <w:tcPr>
            <w:tcW w:type="dxa" w:w="91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AC1.1</w:t>
            </w:r>
          </w:p>
        </w:tc>
        <w:tc>
          <w:tcPr>
            <w:tcW w:type="dxa" w:w="19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Sign up with valid details</w:t>
            </w:r>
          </w:p>
        </w:tc>
        <w:tc>
          <w:tcPr>
            <w:tcW w:type="dxa" w:w="261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Arjun / arjun@example.com / arjun.k / Passw0rd! twice</w:t>
            </w:r>
          </w:p>
        </w:tc>
        <w:tc>
          <w:tcPr>
            <w:tcW w:type="dxa" w:w="287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Teen screen opens</w:t>
            </w:r>
          </w:p>
        </w:tc>
      </w:tr>
      <w:tr>
        <w:trPr>
          <w:cantSplit/>
        </w:trPr>
        <w:tc>
          <w:tcPr>
            <w:tcW w:type="dxa" w:w="65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TC2</w:t>
            </w:r>
          </w:p>
        </w:tc>
        <w:tc>
          <w:tcPr>
            <w:tcW w:type="dxa" w:w="915"/>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AC1.2</w:t>
            </w:r>
          </w:p>
        </w:tc>
        <w:tc>
          <w:tcPr>
            <w:tcW w:type="dxa" w:w="1962"/>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Password too short</w:t>
            </w:r>
          </w:p>
        </w:tc>
        <w:tc>
          <w:tcPr>
            <w:tcW w:type="dxa" w:w="2616"/>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Password “abc”</w:t>
            </w:r>
          </w:p>
        </w:tc>
        <w:tc>
          <w:tcPr>
            <w:tcW w:type="dxa" w:w="2879"/>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Red outline; “Passwords need at least 8 characters.”</w:t>
            </w:r>
          </w:p>
        </w:tc>
      </w:tr>
      <w:tr>
        <w:trPr>
          <w:cantSplit/>
        </w:trPr>
        <w:tc>
          <w:tcPr>
            <w:tcW w:type="dxa" w:w="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TC3</w:t>
            </w:r>
          </w:p>
        </w:tc>
        <w:tc>
          <w:tcPr>
            <w:tcW w:type="dxa" w:w="91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AC1.2</w:t>
            </w:r>
          </w:p>
        </w:tc>
        <w:tc>
          <w:tcPr>
            <w:tcW w:type="dxa" w:w="19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Passwords don’t match</w:t>
            </w:r>
          </w:p>
        </w:tc>
        <w:tc>
          <w:tcPr>
            <w:tcW w:type="dxa" w:w="261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Two different passwords</w:t>
            </w:r>
          </w:p>
        </w:tc>
        <w:tc>
          <w:tcPr>
            <w:tcW w:type="dxa" w:w="287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“The two passwords don’t match.”</w:t>
            </w:r>
          </w:p>
        </w:tc>
      </w:tr>
      <w:tr>
        <w:trPr>
          <w:cantSplit/>
        </w:trPr>
        <w:tc>
          <w:tcPr>
            <w:tcW w:type="dxa" w:w="65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TC4</w:t>
            </w:r>
          </w:p>
        </w:tc>
        <w:tc>
          <w:tcPr>
            <w:tcW w:type="dxa" w:w="915"/>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AC1.2</w:t>
            </w:r>
          </w:p>
        </w:tc>
        <w:tc>
          <w:tcPr>
            <w:tcW w:type="dxa" w:w="1962"/>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Invalid email</w:t>
            </w:r>
          </w:p>
        </w:tc>
        <w:tc>
          <w:tcPr>
            <w:tcW w:type="dxa" w:w="2616"/>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“arjun@”</w:t>
            </w:r>
          </w:p>
        </w:tc>
        <w:tc>
          <w:tcPr>
            <w:tcW w:type="dxa" w:w="2879"/>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“Please enter a valid email address.”</w:t>
            </w:r>
          </w:p>
        </w:tc>
      </w:tr>
      <w:tr>
        <w:trPr>
          <w:cantSplit/>
        </w:trPr>
        <w:tc>
          <w:tcPr>
            <w:tcW w:type="dxa" w:w="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TC5</w:t>
            </w:r>
          </w:p>
        </w:tc>
        <w:tc>
          <w:tcPr>
            <w:tcW w:type="dxa" w:w="91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AC1.3</w:t>
            </w:r>
          </w:p>
        </w:tc>
        <w:tc>
          <w:tcPr>
            <w:tcW w:type="dxa" w:w="19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No age band</w:t>
            </w:r>
          </w:p>
        </w:tc>
        <w:tc>
          <w:tcPr>
            <w:tcW w:type="dxa" w:w="261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Tap Continue with none chosen</w:t>
            </w:r>
          </w:p>
        </w:tc>
        <w:tc>
          <w:tcPr>
            <w:tcW w:type="dxa" w:w="287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Nothing happens; button faded</w:t>
            </w:r>
          </w:p>
        </w:tc>
      </w:tr>
      <w:tr>
        <w:trPr>
          <w:cantSplit/>
        </w:trPr>
        <w:tc>
          <w:tcPr>
            <w:tcW w:type="dxa" w:w="65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TC6</w:t>
            </w:r>
          </w:p>
        </w:tc>
        <w:tc>
          <w:tcPr>
            <w:tcW w:type="dxa" w:w="915"/>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AC1.4</w:t>
            </w:r>
          </w:p>
        </w:tc>
        <w:tc>
          <w:tcPr>
            <w:tcW w:type="dxa" w:w="1962"/>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Age bands match target</w:t>
            </w:r>
          </w:p>
        </w:tc>
        <w:tc>
          <w:tcPr>
            <w:tcW w:type="dxa" w:w="2616"/>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Open teen screen</w:t>
            </w:r>
          </w:p>
        </w:tc>
        <w:tc>
          <w:tcPr>
            <w:tcW w:type="dxa" w:w="2879"/>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Shows 14–15, 16–17, 18–19 (fails on current build)</w:t>
            </w:r>
          </w:p>
        </w:tc>
      </w:tr>
      <w:tr>
        <w:trPr>
          <w:cantSplit/>
        </w:trPr>
        <w:tc>
          <w:tcPr>
            <w:tcW w:type="dxa" w:w="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TC7</w:t>
            </w:r>
          </w:p>
        </w:tc>
        <w:tc>
          <w:tcPr>
            <w:tcW w:type="dxa" w:w="91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AC2.2</w:t>
            </w:r>
          </w:p>
        </w:tc>
        <w:tc>
          <w:tcPr>
            <w:tcW w:type="dxa" w:w="19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Topic required</w:t>
            </w:r>
          </w:p>
        </w:tc>
        <w:tc>
          <w:tcPr>
            <w:tcW w:type="dxa" w:w="261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Continue with no topic</w:t>
            </w:r>
          </w:p>
        </w:tc>
        <w:tc>
          <w:tcPr>
            <w:tcW w:type="dxa" w:w="287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Disabled</w:t>
            </w:r>
          </w:p>
        </w:tc>
      </w:tr>
      <w:tr>
        <w:trPr>
          <w:cantSplit/>
        </w:trPr>
        <w:tc>
          <w:tcPr>
            <w:tcW w:type="dxa" w:w="65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TC8</w:t>
            </w:r>
          </w:p>
        </w:tc>
        <w:tc>
          <w:tcPr>
            <w:tcW w:type="dxa" w:w="915"/>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AC3.2</w:t>
            </w:r>
          </w:p>
        </w:tc>
        <w:tc>
          <w:tcPr>
            <w:tcW w:type="dxa" w:w="1962"/>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Difficulty drives tip</w:t>
            </w:r>
          </w:p>
        </w:tc>
        <w:tc>
          <w:tcPr>
            <w:tcW w:type="dxa" w:w="2616"/>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Choose “I tried before and it went badly”</w:t>
            </w:r>
          </w:p>
        </w:tc>
        <w:tc>
          <w:tcPr>
            <w:tcW w:type="dxa" w:w="2879"/>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Start step shows “Repair first, then restart”</w:t>
            </w:r>
          </w:p>
        </w:tc>
      </w:tr>
      <w:tr>
        <w:trPr>
          <w:cantSplit/>
        </w:trPr>
        <w:tc>
          <w:tcPr>
            <w:tcW w:type="dxa" w:w="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TC9</w:t>
            </w:r>
          </w:p>
        </w:tc>
        <w:tc>
          <w:tcPr>
            <w:tcW w:type="dxa" w:w="91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AC4.1</w:t>
            </w:r>
          </w:p>
        </w:tc>
        <w:tc>
          <w:tcPr>
            <w:tcW w:type="dxa" w:w="19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Name personalisation</w:t>
            </w:r>
          </w:p>
        </w:tc>
        <w:tc>
          <w:tcPr>
            <w:tcW w:type="dxa" w:w="261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Teen name blank</w:t>
            </w:r>
          </w:p>
        </w:tc>
        <w:tc>
          <w:tcPr>
            <w:tcW w:type="dxa" w:w="287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Copy reads “your teen”, never blank</w:t>
            </w:r>
          </w:p>
        </w:tc>
      </w:tr>
      <w:tr>
        <w:trPr>
          <w:cantSplit/>
        </w:trPr>
        <w:tc>
          <w:tcPr>
            <w:tcW w:type="dxa" w:w="65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TC10</w:t>
            </w:r>
          </w:p>
        </w:tc>
        <w:tc>
          <w:tcPr>
            <w:tcW w:type="dxa" w:w="915"/>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AC5.1</w:t>
            </w:r>
          </w:p>
        </w:tc>
        <w:tc>
          <w:tcPr>
            <w:tcW w:type="dxa" w:w="1962"/>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Single opener selection</w:t>
            </w:r>
          </w:p>
        </w:tc>
        <w:tc>
          <w:tcPr>
            <w:tcW w:type="dxa" w:w="2616"/>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Tap opener 1 then 2</w:t>
            </w:r>
          </w:p>
        </w:tc>
        <w:tc>
          <w:tcPr>
            <w:tcW w:type="dxa" w:w="2879"/>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Only opener 2 selected</w:t>
            </w:r>
          </w:p>
        </w:tc>
      </w:tr>
      <w:tr>
        <w:trPr>
          <w:cantSplit/>
        </w:trPr>
        <w:tc>
          <w:tcPr>
            <w:tcW w:type="dxa" w:w="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TC11</w:t>
            </w:r>
          </w:p>
        </w:tc>
        <w:tc>
          <w:tcPr>
            <w:tcW w:type="dxa" w:w="91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AC5.2</w:t>
            </w:r>
          </w:p>
        </w:tc>
        <w:tc>
          <w:tcPr>
            <w:tcW w:type="dxa" w:w="19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Default opener</w:t>
            </w:r>
          </w:p>
        </w:tc>
        <w:tc>
          <w:tcPr>
            <w:tcW w:type="dxa" w:w="261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Skip choosing an opener</w:t>
            </w:r>
          </w:p>
        </w:tc>
        <w:tc>
          <w:tcPr>
            <w:tcW w:type="dxa" w:w="287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Pocket card shows opener 1</w:t>
            </w:r>
          </w:p>
        </w:tc>
      </w:tr>
      <w:tr>
        <w:trPr>
          <w:cantSplit/>
        </w:trPr>
        <w:tc>
          <w:tcPr>
            <w:tcW w:type="dxa" w:w="65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TC12</w:t>
            </w:r>
          </w:p>
        </w:tc>
        <w:tc>
          <w:tcPr>
            <w:tcW w:type="dxa" w:w="915"/>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AC6.2</w:t>
            </w:r>
          </w:p>
        </w:tc>
        <w:tc>
          <w:tcPr>
            <w:tcW w:type="dxa" w:w="1962"/>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Reveal and hide</w:t>
            </w:r>
          </w:p>
        </w:tc>
        <w:tc>
          <w:tcPr>
            <w:tcW w:type="dxa" w:w="2616"/>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Tap a teen question twice</w:t>
            </w:r>
          </w:p>
        </w:tc>
        <w:tc>
          <w:tcPr>
            <w:tcW w:type="dxa" w:w="2879"/>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Response shown, then hidden</w:t>
            </w:r>
          </w:p>
        </w:tc>
      </w:tr>
      <w:tr>
        <w:trPr>
          <w:cantSplit/>
        </w:trPr>
        <w:tc>
          <w:tcPr>
            <w:tcW w:type="dxa" w:w="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TC13</w:t>
            </w:r>
          </w:p>
        </w:tc>
        <w:tc>
          <w:tcPr>
            <w:tcW w:type="dxa" w:w="91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AC8.2</w:t>
            </w:r>
          </w:p>
        </w:tc>
        <w:tc>
          <w:tcPr>
            <w:tcW w:type="dxa" w:w="19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Offline promise</w:t>
            </w:r>
          </w:p>
        </w:tc>
        <w:tc>
          <w:tcPr>
            <w:tcW w:type="dxa" w:w="261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Open Go-talk</w:t>
            </w:r>
          </w:p>
        </w:tc>
        <w:tc>
          <w:tcPr>
            <w:tcW w:type="dxa" w:w="287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Text says Raise doesn’t listen, record or contact the teen</w:t>
            </w:r>
          </w:p>
        </w:tc>
      </w:tr>
      <w:tr>
        <w:trPr>
          <w:cantSplit/>
        </w:trPr>
        <w:tc>
          <w:tcPr>
            <w:tcW w:type="dxa" w:w="65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TC14</w:t>
            </w:r>
          </w:p>
        </w:tc>
        <w:tc>
          <w:tcPr>
            <w:tcW w:type="dxa" w:w="915"/>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AC9.1</w:t>
            </w:r>
          </w:p>
        </w:tc>
        <w:tc>
          <w:tcPr>
            <w:tcW w:type="dxa" w:w="1962"/>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Save for later</w:t>
            </w:r>
          </w:p>
        </w:tc>
        <w:tc>
          <w:tcPr>
            <w:tcW w:type="dxa" w:w="2616"/>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Tap “Not yet”</w:t>
            </w:r>
          </w:p>
        </w:tc>
        <w:tc>
          <w:tcPr>
            <w:tcW w:type="dxa" w:w="2879"/>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Home stage = Talk; pending card shown</w:t>
            </w:r>
          </w:p>
        </w:tc>
      </w:tr>
      <w:tr>
        <w:trPr>
          <w:cantSplit/>
        </w:trPr>
        <w:tc>
          <w:tcPr>
            <w:tcW w:type="dxa" w:w="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TC15</w:t>
            </w:r>
          </w:p>
        </w:tc>
        <w:tc>
          <w:tcPr>
            <w:tcW w:type="dxa" w:w="91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AC10.1</w:t>
            </w:r>
          </w:p>
        </w:tc>
        <w:tc>
          <w:tcPr>
            <w:tcW w:type="dxa" w:w="19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Outcome required</w:t>
            </w:r>
          </w:p>
        </w:tc>
        <w:tc>
          <w:tcPr>
            <w:tcW w:type="dxa" w:w="261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Tap Save with no outcome</w:t>
            </w:r>
          </w:p>
        </w:tc>
        <w:tc>
          <w:tcPr>
            <w:tcW w:type="dxa" w:w="287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Disabled</w:t>
            </w:r>
          </w:p>
        </w:tc>
      </w:tr>
      <w:tr>
        <w:trPr>
          <w:cantSplit/>
        </w:trPr>
        <w:tc>
          <w:tcPr>
            <w:tcW w:type="dxa" w:w="65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TC16</w:t>
            </w:r>
          </w:p>
        </w:tc>
        <w:tc>
          <w:tcPr>
            <w:tcW w:type="dxa" w:w="915"/>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AC10.3</w:t>
            </w:r>
          </w:p>
        </w:tc>
        <w:tc>
          <w:tcPr>
            <w:tcW w:type="dxa" w:w="1962"/>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Journal entry</w:t>
            </w:r>
          </w:p>
        </w:tc>
        <w:tc>
          <w:tcPr>
            <w:tcW w:type="dxa" w:w="2616"/>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Save “Went well” + “We laughed”</w:t>
            </w:r>
          </w:p>
        </w:tc>
        <w:tc>
          <w:tcPr>
            <w:tcW w:type="dxa" w:w="2879"/>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Entry at top of Journal with chips</w:t>
            </w:r>
          </w:p>
        </w:tc>
      </w:tr>
      <w:tr>
        <w:trPr>
          <w:cantSplit/>
        </w:trPr>
        <w:tc>
          <w:tcPr>
            <w:tcW w:type="dxa" w:w="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TC17</w:t>
            </w:r>
          </w:p>
        </w:tc>
        <w:tc>
          <w:tcPr>
            <w:tcW w:type="dxa" w:w="91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AC11.1</w:t>
            </w:r>
          </w:p>
        </w:tc>
        <w:tc>
          <w:tcPr>
            <w:tcW w:type="dxa" w:w="19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Next after well</w:t>
            </w:r>
          </w:p>
        </w:tc>
        <w:tc>
          <w:tcPr>
            <w:tcW w:type="dxa" w:w="261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Online safety → Went well</w:t>
            </w:r>
          </w:p>
        </w:tc>
        <w:tc>
          <w:tcPr>
            <w:tcW w:type="dxa" w:w="287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Next: Consent, “In about a week”</w:t>
            </w:r>
          </w:p>
        </w:tc>
      </w:tr>
      <w:tr>
        <w:trPr>
          <w:cantSplit/>
        </w:trPr>
        <w:tc>
          <w:tcPr>
            <w:tcW w:type="dxa" w:w="65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TC18</w:t>
            </w:r>
          </w:p>
        </w:tc>
        <w:tc>
          <w:tcPr>
            <w:tcW w:type="dxa" w:w="915"/>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AC11.2</w:t>
            </w:r>
          </w:p>
        </w:tc>
        <w:tc>
          <w:tcPr>
            <w:tcW w:type="dxa" w:w="1962"/>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Next after stall + embarrassed</w:t>
            </w:r>
          </w:p>
        </w:tc>
        <w:tc>
          <w:tcPr>
            <w:tcW w:type="dxa" w:w="2616"/>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Money → Stalled + “Got embarrassed”</w:t>
            </w:r>
          </w:p>
        </w:tc>
        <w:tc>
          <w:tcPr>
            <w:tcW w:type="dxa" w:w="2879"/>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Next: Money, 3–4 days, difficulty “awkward”</w:t>
            </w:r>
          </w:p>
        </w:tc>
      </w:tr>
      <w:tr>
        <w:trPr>
          <w:cantSplit/>
        </w:trPr>
        <w:tc>
          <w:tcPr>
            <w:tcW w:type="dxa" w:w="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TC19</w:t>
            </w:r>
          </w:p>
        </w:tc>
        <w:tc>
          <w:tcPr>
            <w:tcW w:type="dxa" w:w="91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AC11.3</w:t>
            </w:r>
          </w:p>
        </w:tc>
        <w:tc>
          <w:tcPr>
            <w:tcW w:type="dxa" w:w="19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Next after unexpected</w:t>
            </w:r>
          </w:p>
        </w:tc>
        <w:tc>
          <w:tcPr>
            <w:tcW w:type="dxa" w:w="261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Puberty → Unexpected</w:t>
            </w:r>
          </w:p>
        </w:tc>
        <w:tc>
          <w:tcPr>
            <w:tcW w:type="dxa" w:w="287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Next: Puberty, within 48 h, difficulty “questions”</w:t>
            </w:r>
          </w:p>
        </w:tc>
      </w:tr>
      <w:tr>
        <w:trPr>
          <w:cantSplit/>
        </w:trPr>
        <w:tc>
          <w:tcPr>
            <w:tcW w:type="dxa" w:w="65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TC20</w:t>
            </w:r>
          </w:p>
        </w:tc>
        <w:tc>
          <w:tcPr>
            <w:tcW w:type="dxa" w:w="915"/>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AC12.1</w:t>
            </w:r>
          </w:p>
        </w:tc>
        <w:tc>
          <w:tcPr>
            <w:tcW w:type="dxa" w:w="1962"/>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Grooming escalation</w:t>
            </w:r>
          </w:p>
        </w:tc>
        <w:tc>
          <w:tcPr>
            <w:tcW w:type="dxa" w:w="2616"/>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Note: “…someone claiming to be 16…”</w:t>
            </w:r>
          </w:p>
        </w:tc>
        <w:tc>
          <w:tcPr>
            <w:tcW w:type="dxa" w:w="2879"/>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Safety card with 1930 / cybercrime.gov.in, 1098 (fails on current build)</w:t>
            </w:r>
          </w:p>
        </w:tc>
      </w:tr>
      <w:tr>
        <w:trPr>
          <w:cantSplit/>
        </w:trPr>
        <w:tc>
          <w:tcPr>
            <w:tcW w:type="dxa" w:w="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TC21</w:t>
            </w:r>
          </w:p>
        </w:tc>
        <w:tc>
          <w:tcPr>
            <w:tcW w:type="dxa" w:w="91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AC12.2</w:t>
            </w:r>
          </w:p>
        </w:tc>
        <w:tc>
          <w:tcPr>
            <w:tcW w:type="dxa" w:w="19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Self-harm escalation</w:t>
            </w:r>
          </w:p>
        </w:tc>
        <w:tc>
          <w:tcPr>
            <w:tcW w:type="dxa" w:w="261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Note: “…says he wants to die…”</w:t>
            </w:r>
          </w:p>
        </w:tc>
        <w:tc>
          <w:tcPr>
            <w:tcW w:type="dxa" w:w="287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Crisis card; no next-talk prep shown</w:t>
            </w:r>
          </w:p>
        </w:tc>
      </w:tr>
      <w:tr>
        <w:trPr>
          <w:cantSplit/>
        </w:trPr>
        <w:tc>
          <w:tcPr>
            <w:tcW w:type="dxa" w:w="65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TC22</w:t>
            </w:r>
          </w:p>
        </w:tc>
        <w:tc>
          <w:tcPr>
            <w:tcW w:type="dxa" w:w="915"/>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AC12.3</w:t>
            </w:r>
          </w:p>
        </w:tc>
        <w:tc>
          <w:tcPr>
            <w:tcW w:type="dxa" w:w="1962"/>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No false escalation</w:t>
            </w:r>
          </w:p>
        </w:tc>
        <w:tc>
          <w:tcPr>
            <w:tcW w:type="dxa" w:w="2616"/>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Note: “We talked in the car about crushes.”</w:t>
            </w:r>
          </w:p>
        </w:tc>
        <w:tc>
          <w:tcPr>
            <w:tcW w:type="dxa" w:w="2879"/>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Normal insight</w:t>
            </w:r>
          </w:p>
        </w:tc>
      </w:tr>
      <w:tr>
        <w:trPr>
          <w:cantSplit/>
        </w:trPr>
        <w:tc>
          <w:tcPr>
            <w:tcW w:type="dxa" w:w="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TC23</w:t>
            </w:r>
          </w:p>
        </w:tc>
        <w:tc>
          <w:tcPr>
            <w:tcW w:type="dxa" w:w="91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AC13.3</w:t>
            </w:r>
          </w:p>
        </w:tc>
        <w:tc>
          <w:tcPr>
            <w:tcW w:type="dxa" w:w="1962"/>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Persistence</w:t>
            </w:r>
          </w:p>
        </w:tc>
        <w:tc>
          <w:tcPr>
            <w:tcW w:type="dxa" w:w="261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Save a talk, reload</w:t>
            </w:r>
          </w:p>
        </w:tc>
        <w:tc>
          <w:tcPr>
            <w:tcW w:type="dxa" w:w="2879"/>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5"/>
                <w:szCs w:val="15"/>
              </w:rPr>
              <w:t xml:space="preserve">Talk still in Journal (fails on current build)</w:t>
            </w:r>
          </w:p>
        </w:tc>
      </w:tr>
      <w:tr>
        <w:trPr>
          <w:cantSplit/>
        </w:trPr>
        <w:tc>
          <w:tcPr>
            <w:tcW w:type="dxa" w:w="654"/>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TC24</w:t>
            </w:r>
          </w:p>
        </w:tc>
        <w:tc>
          <w:tcPr>
            <w:tcW w:type="dxa" w:w="915"/>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AC10.1</w:t>
            </w:r>
          </w:p>
        </w:tc>
        <w:tc>
          <w:tcPr>
            <w:tcW w:type="dxa" w:w="1962"/>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Edge: very long note</w:t>
            </w:r>
          </w:p>
        </w:tc>
        <w:tc>
          <w:tcPr>
            <w:tcW w:type="dxa" w:w="2616"/>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2,000-character note</w:t>
            </w:r>
          </w:p>
        </w:tc>
        <w:tc>
          <w:tcPr>
            <w:tcW w:type="dxa" w:w="2879"/>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color w:val="15201A"/>
                <w:sz w:val="15"/>
                <w:szCs w:val="15"/>
              </w:rPr>
              <w:t xml:space="preserve">Saves; insight layout doesn’t break </w:t>
            </w:r>
            <w:r>
              <w:rPr>
                <w:rFonts w:ascii="Arial" w:cs="Arial" w:eastAsia="Arial" w:hAnsi="Arial"/>
                <w:b/>
                <w:bCs/>
                <w:color w:val="8A3517"/>
                <w:sz w:val="15"/>
                <w:szCs w:val="15"/>
              </w:rPr>
              <w:t xml:space="preserve">[NEEDS INPUT: max length]</w:t>
            </w:r>
          </w:p>
        </w:tc>
      </w:tr>
    </w:tbl>
    <w:p>
      <w:pPr>
        <w:pStyle w:val="Heading1"/>
        <w:pageBreakBefore/>
      </w:pPr>
      <w:r>
        <w:t xml:space="preserve">Part B — User Flows</w:t>
      </w:r>
    </w:p>
    <w:p>
      <w:pPr>
        <w:spacing w:after="120"/>
        <w:jc w:val="center"/>
      </w:pPr>
      <w:r>
        <w:drawing>
          <wp:inline distT="0" distB="0" distL="0" distR="0">
            <wp:extent cx="5810250" cy="1895475"/>
            <wp:effectExtent t="0" r="0" b="0" l="0"/>
            <wp:docPr id="1" name="Core user flow" descr="Core user flow" title="Core us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1895475"/>
                    </a:xfrm>
                    <a:prstGeom prst="rect">
                      <a:avLst/>
                    </a:prstGeom>
                  </pic:spPr>
                </pic:pic>
              </a:graphicData>
            </a:graphic>
          </wp:inline>
        </w:drawing>
      </w:r>
    </w:p>
    <w:p>
      <w:pPr>
        <w:spacing w:after="200"/>
        <w:jc w:val="center"/>
      </w:pPr>
      <w:r>
        <w:rPr>
          <w:rFonts w:ascii="Arial" w:cs="Arial" w:eastAsia="Arial" w:hAnsi="Arial"/>
          <w:i/>
          <w:iCs/>
          <w:color w:val="4E5B53"/>
          <w:sz w:val="17"/>
          <w:szCs w:val="17"/>
        </w:rPr>
        <w:t xml:space="preserve">Figure B.1 — Core flow, as built in the live prototype</w:t>
      </w:r>
    </w:p>
    <w:p>
      <w:pPr>
        <w:pStyle w:val="Heading2"/>
        <w:keepNext/>
      </w:pPr>
      <w:r>
        <w:t xml:space="preserve">B.1 Onboarding and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3"/>
        <w:gridCol w:w="1725"/>
        <w:gridCol w:w="2654"/>
        <w:gridCol w:w="3984"/>
      </w:tblGrid>
      <w:tr>
        <w:trPr>
          <w:cantSplit/>
          <w:tblHeader/>
        </w:trPr>
        <w:tc>
          <w:tcPr>
            <w:tcW w:type="dxa" w:w="663"/>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Step</w:t>
            </w:r>
          </w:p>
        </w:tc>
        <w:tc>
          <w:tcPr>
            <w:tcW w:type="dxa" w:w="1725"/>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Screen</w:t>
            </w:r>
          </w:p>
        </w:tc>
        <w:tc>
          <w:tcPr>
            <w:tcW w:type="dxa" w:w="2654"/>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Parent action</w:t>
            </w:r>
          </w:p>
        </w:tc>
        <w:tc>
          <w:tcPr>
            <w:tcW w:type="dxa" w:w="3984"/>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System response / branch</w:t>
            </w:r>
          </w:p>
        </w:tc>
      </w:tr>
      <w:tr>
        <w:trPr>
          <w:cantSplit/>
        </w:trPr>
        <w:tc>
          <w:tcPr>
            <w:tcW w:type="dxa" w:w="6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w:t>
            </w:r>
          </w:p>
        </w:tc>
        <w:tc>
          <w:tcPr>
            <w:tcW w:type="dxa" w:w="172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Cover</w:t>
            </w:r>
          </w:p>
        </w:tc>
        <w:tc>
          <w:tcPr>
            <w:tcW w:type="dxa" w:w="2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Tap “Get started”</w:t>
            </w:r>
          </w:p>
        </w:tc>
        <w:tc>
          <w:tcPr>
            <w:tcW w:type="dxa" w:w="39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Opens Log in</w:t>
            </w:r>
          </w:p>
        </w:tc>
      </w:tr>
      <w:tr>
        <w:trPr>
          <w:cantSplit/>
        </w:trPr>
        <w:tc>
          <w:tcPr>
            <w:tcW w:type="dxa" w:w="6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2</w:t>
            </w:r>
          </w:p>
        </w:tc>
        <w:tc>
          <w:tcPr>
            <w:tcW w:type="dxa" w:w="172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Log in</w:t>
            </w:r>
          </w:p>
        </w:tc>
        <w:tc>
          <w:tcPr>
            <w:tcW w:type="dxa" w:w="2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Enter username + password</w:t>
            </w:r>
          </w:p>
        </w:tc>
        <w:tc>
          <w:tcPr>
            <w:tcW w:type="dxa" w:w="39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Empty → error; short password → “doesn’t look right”; else Home</w:t>
            </w:r>
          </w:p>
        </w:tc>
      </w:tr>
      <w:tr>
        <w:trPr>
          <w:cantSplit/>
        </w:trPr>
        <w:tc>
          <w:tcPr>
            <w:tcW w:type="dxa" w:w="6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2a</w:t>
            </w:r>
          </w:p>
        </w:tc>
        <w:tc>
          <w:tcPr>
            <w:tcW w:type="dxa" w:w="172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Forgot password</w:t>
            </w:r>
          </w:p>
        </w:tc>
        <w:tc>
          <w:tcPr>
            <w:tcW w:type="dxa" w:w="2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Enter email</w:t>
            </w:r>
          </w:p>
        </w:tc>
        <w:tc>
          <w:tcPr>
            <w:tcW w:type="dxa" w:w="39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Invalid → error; valid → “check your inbox” state with resend</w:t>
            </w:r>
          </w:p>
        </w:tc>
      </w:tr>
      <w:tr>
        <w:trPr>
          <w:cantSplit/>
        </w:trPr>
        <w:tc>
          <w:tcPr>
            <w:tcW w:type="dxa" w:w="6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2b</w:t>
            </w:r>
          </w:p>
        </w:tc>
        <w:tc>
          <w:tcPr>
            <w:tcW w:type="dxa" w:w="172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Create account</w:t>
            </w:r>
          </w:p>
        </w:tc>
        <w:tc>
          <w:tcPr>
            <w:tcW w:type="dxa" w:w="2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Name, email, username, password ×2</w:t>
            </w:r>
          </w:p>
        </w:tc>
        <w:tc>
          <w:tcPr>
            <w:tcW w:type="dxa" w:w="39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Field-level validation with strength meter → Teen screen</w:t>
            </w:r>
          </w:p>
        </w:tc>
      </w:tr>
      <w:tr>
        <w:trPr>
          <w:cantSplit/>
        </w:trPr>
        <w:tc>
          <w:tcPr>
            <w:tcW w:type="dxa" w:w="6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3</w:t>
            </w:r>
          </w:p>
        </w:tc>
        <w:tc>
          <w:tcPr>
            <w:tcW w:type="dxa" w:w="1725"/>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Teen</w:t>
            </w:r>
          </w:p>
        </w:tc>
        <w:tc>
          <w:tcPr>
            <w:tcW w:type="dxa" w:w="2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Optional name; choose age band</w:t>
            </w:r>
          </w:p>
        </w:tc>
        <w:tc>
          <w:tcPr>
            <w:tcW w:type="dxa" w:w="398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Continue enabled once an age band is chosen</w:t>
            </w:r>
          </w:p>
        </w:tc>
      </w:tr>
    </w:tbl>
    <w:p>
      <w:pPr>
        <w:pStyle w:val="Heading2"/>
        <w:keepNext/>
      </w:pPr>
      <w:r>
        <w:t xml:space="preserve">B.2 Prepare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3"/>
        <w:gridCol w:w="1991"/>
        <w:gridCol w:w="2654"/>
        <w:gridCol w:w="3718"/>
      </w:tblGrid>
      <w:tr>
        <w:trPr>
          <w:cantSplit/>
          <w:tblHeader/>
        </w:trPr>
        <w:tc>
          <w:tcPr>
            <w:tcW w:type="dxa" w:w="663"/>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Step</w:t>
            </w:r>
          </w:p>
        </w:tc>
        <w:tc>
          <w:tcPr>
            <w:tcW w:type="dxa" w:w="1991"/>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Screen</w:t>
            </w:r>
          </w:p>
        </w:tc>
        <w:tc>
          <w:tcPr>
            <w:tcW w:type="dxa" w:w="2654"/>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Parent action</w:t>
            </w:r>
          </w:p>
        </w:tc>
        <w:tc>
          <w:tcPr>
            <w:tcW w:type="dxa" w:w="371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System response / branch</w:t>
            </w:r>
          </w:p>
        </w:tc>
      </w:tr>
      <w:tr>
        <w:trPr>
          <w:cantSplit/>
        </w:trPr>
        <w:tc>
          <w:tcPr>
            <w:tcW w:type="dxa" w:w="6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4</w:t>
            </w:r>
          </w:p>
        </w:tc>
        <w:tc>
          <w:tcPr>
            <w:tcW w:type="dxa" w:w="199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Topic</w:t>
            </w:r>
          </w:p>
        </w:tc>
        <w:tc>
          <w:tcPr>
            <w:tcW w:type="dxa" w:w="2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Pick one of six</w:t>
            </w:r>
          </w:p>
        </w:tc>
        <w:tc>
          <w:tcPr>
            <w:tcW w:type="dxa" w:w="371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Continue enabled</w:t>
            </w:r>
          </w:p>
        </w:tc>
      </w:tr>
      <w:tr>
        <w:trPr>
          <w:cantSplit/>
        </w:trPr>
        <w:tc>
          <w:tcPr>
            <w:tcW w:type="dxa" w:w="6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5</w:t>
            </w:r>
          </w:p>
        </w:tc>
        <w:tc>
          <w:tcPr>
            <w:tcW w:type="dxa" w:w="199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Hardest part</w:t>
            </w:r>
          </w:p>
        </w:tc>
        <w:tc>
          <w:tcPr>
            <w:tcW w:type="dxa" w:w="2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Pick one of five difficulties</w:t>
            </w:r>
          </w:p>
        </w:tc>
        <w:tc>
          <w:tcPr>
            <w:tcW w:type="dxa" w:w="371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“Build my 5-minute guide” → short building state</w:t>
            </w:r>
          </w:p>
        </w:tc>
      </w:tr>
      <w:tr>
        <w:trPr>
          <w:cantSplit/>
        </w:trPr>
        <w:tc>
          <w:tcPr>
            <w:tcW w:type="dxa" w:w="6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6</w:t>
            </w:r>
          </w:p>
        </w:tc>
        <w:tc>
          <w:tcPr>
            <w:tcW w:type="dxa" w:w="199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Prep 1 · Understand</w:t>
            </w:r>
          </w:p>
        </w:tc>
        <w:tc>
          <w:tcPr>
            <w:tcW w:type="dxa" w:w="2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Read goal + 3 points</w:t>
            </w:r>
          </w:p>
        </w:tc>
        <w:tc>
          <w:tcPr>
            <w:tcW w:type="dxa" w:w="371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Next: Start</w:t>
            </w:r>
          </w:p>
        </w:tc>
      </w:tr>
      <w:tr>
        <w:trPr>
          <w:cantSplit/>
        </w:trPr>
        <w:tc>
          <w:tcPr>
            <w:tcW w:type="dxa" w:w="6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7</w:t>
            </w:r>
          </w:p>
        </w:tc>
        <w:tc>
          <w:tcPr>
            <w:tcW w:type="dxa" w:w="199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Prep 2 · Start</w:t>
            </w:r>
          </w:p>
        </w:tc>
        <w:tc>
          <w:tcPr>
            <w:tcW w:type="dxa" w:w="2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Read tip for their difficulty; choose opener</w:t>
            </w:r>
          </w:p>
        </w:tc>
        <w:tc>
          <w:tcPr>
            <w:tcW w:type="dxa" w:w="371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Next: Anticipate</w:t>
            </w:r>
          </w:p>
        </w:tc>
      </w:tr>
      <w:tr>
        <w:trPr>
          <w:cantSplit/>
        </w:trPr>
        <w:tc>
          <w:tcPr>
            <w:tcW w:type="dxa" w:w="6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8</w:t>
            </w:r>
          </w:p>
        </w:tc>
        <w:tc>
          <w:tcPr>
            <w:tcW w:type="dxa" w:w="199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Prep 3 · Anticipate</w:t>
            </w:r>
          </w:p>
        </w:tc>
        <w:tc>
          <w:tcPr>
            <w:tcW w:type="dxa" w:w="2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Think, then tap to reveal calm responses</w:t>
            </w:r>
          </w:p>
        </w:tc>
        <w:tc>
          <w:tcPr>
            <w:tcW w:type="dxa" w:w="371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Next: Avoid</w:t>
            </w:r>
          </w:p>
        </w:tc>
      </w:tr>
      <w:tr>
        <w:trPr>
          <w:cantSplit/>
        </w:trPr>
        <w:tc>
          <w:tcPr>
            <w:tcW w:type="dxa" w:w="6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9</w:t>
            </w:r>
          </w:p>
        </w:tc>
        <w:tc>
          <w:tcPr>
            <w:tcW w:type="dxa" w:w="199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Prep 4 · Avoid</w:t>
            </w:r>
          </w:p>
        </w:tc>
        <w:tc>
          <w:tcPr>
            <w:tcW w:type="dxa" w:w="2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Read 3 mistakes</w:t>
            </w:r>
          </w:p>
        </w:tc>
        <w:tc>
          <w:tcPr>
            <w:tcW w:type="dxa" w:w="371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Next: Ready</w:t>
            </w:r>
          </w:p>
        </w:tc>
      </w:tr>
      <w:tr>
        <w:trPr>
          <w:cantSplit/>
        </w:trPr>
        <w:tc>
          <w:tcPr>
            <w:tcW w:type="dxa" w:w="6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10</w:t>
            </w:r>
          </w:p>
        </w:tc>
        <w:tc>
          <w:tcPr>
            <w:tcW w:type="dxa" w:w="199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Prep 5 · Ready</w:t>
            </w:r>
          </w:p>
        </w:tc>
        <w:tc>
          <w:tcPr>
            <w:tcW w:type="dxa" w:w="2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Review plan; tick checklist</w:t>
            </w:r>
          </w:p>
        </w:tc>
        <w:tc>
          <w:tcPr>
            <w:tcW w:type="dxa" w:w="371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“I’m ready — go talk”; × exits to Home at any step</w:t>
            </w:r>
          </w:p>
        </w:tc>
      </w:tr>
    </w:tbl>
    <w:p>
      <w:pPr>
        <w:pStyle w:val="Heading2"/>
        <w:keepNext/>
      </w:pPr>
      <w:r>
        <w:t xml:space="preserve">B.3 Talk, reflect, 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3"/>
        <w:gridCol w:w="1991"/>
        <w:gridCol w:w="2654"/>
        <w:gridCol w:w="3718"/>
      </w:tblGrid>
      <w:tr>
        <w:trPr>
          <w:cantSplit/>
          <w:tblHeader/>
        </w:trPr>
        <w:tc>
          <w:tcPr>
            <w:tcW w:type="dxa" w:w="663"/>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Step</w:t>
            </w:r>
          </w:p>
        </w:tc>
        <w:tc>
          <w:tcPr>
            <w:tcW w:type="dxa" w:w="1991"/>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Screen</w:t>
            </w:r>
          </w:p>
        </w:tc>
        <w:tc>
          <w:tcPr>
            <w:tcW w:type="dxa" w:w="2654"/>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Parent action</w:t>
            </w:r>
          </w:p>
        </w:tc>
        <w:tc>
          <w:tcPr>
            <w:tcW w:type="dxa" w:w="3718"/>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System response / branch</w:t>
            </w:r>
          </w:p>
        </w:tc>
      </w:tr>
      <w:tr>
        <w:trPr>
          <w:cantSplit/>
        </w:trPr>
        <w:tc>
          <w:tcPr>
            <w:tcW w:type="dxa" w:w="6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11</w:t>
            </w:r>
          </w:p>
        </w:tc>
        <w:tc>
          <w:tcPr>
            <w:tcW w:type="dxa" w:w="199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Go talk</w:t>
            </w:r>
          </w:p>
        </w:tc>
        <w:tc>
          <w:tcPr>
            <w:tcW w:type="dxa" w:w="2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Glance at pocket card; talk offline</w:t>
            </w:r>
          </w:p>
        </w:tc>
        <w:tc>
          <w:tcPr>
            <w:tcW w:type="dxa" w:w="371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“I’ve had the conversation” → Reflect; “Not yet” → Home (pending)</w:t>
            </w:r>
          </w:p>
        </w:tc>
      </w:tr>
      <w:tr>
        <w:trPr>
          <w:cantSplit/>
        </w:trPr>
        <w:tc>
          <w:tcPr>
            <w:tcW w:type="dxa" w:w="6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12</w:t>
            </w:r>
          </w:p>
        </w:tc>
        <w:tc>
          <w:tcPr>
            <w:tcW w:type="dxa" w:w="199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Reflect</w:t>
            </w:r>
          </w:p>
        </w:tc>
        <w:tc>
          <w:tcPr>
            <w:tcW w:type="dxa" w:w="2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Outcome + chips + optional note</w:t>
            </w:r>
          </w:p>
        </w:tc>
        <w:tc>
          <w:tcPr>
            <w:tcW w:type="dxa" w:w="371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Save enabled once an outcome is chosen</w:t>
            </w:r>
          </w:p>
        </w:tc>
      </w:tr>
      <w:tr>
        <w:trPr>
          <w:cantSplit/>
        </w:trPr>
        <w:tc>
          <w:tcPr>
            <w:tcW w:type="dxa" w:w="6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12a</w:t>
            </w:r>
          </w:p>
        </w:tc>
        <w:tc>
          <w:tcPr>
            <w:tcW w:type="dxa" w:w="199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Escalation (V1, proposed)</w:t>
            </w:r>
          </w:p>
        </w:tc>
        <w:tc>
          <w:tcPr>
            <w:tcW w:type="dxa" w:w="2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Note matches a risk rule</w:t>
            </w:r>
          </w:p>
        </w:tc>
        <w:tc>
          <w:tcPr>
            <w:tcW w:type="dxa" w:w="371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Safety or crisis card before the insight</w:t>
            </w:r>
          </w:p>
        </w:tc>
      </w:tr>
      <w:tr>
        <w:trPr>
          <w:cantSplit/>
        </w:trPr>
        <w:tc>
          <w:tcPr>
            <w:tcW w:type="dxa" w:w="6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13</w:t>
            </w:r>
          </w:p>
        </w:tc>
        <w:tc>
          <w:tcPr>
            <w:tcW w:type="dxa" w:w="199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Insight</w:t>
            </w:r>
          </w:p>
        </w:tc>
        <w:tc>
          <w:tcPr>
            <w:tcW w:type="dxa" w:w="2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Read why + next talk</w:t>
            </w:r>
          </w:p>
        </w:tc>
        <w:tc>
          <w:tcPr>
            <w:tcW w:type="dxa" w:w="371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“Prepare next talk · 5 min” → new guide; or back to Home</w:t>
            </w:r>
          </w:p>
        </w:tc>
      </w:tr>
      <w:tr>
        <w:trPr>
          <w:cantSplit/>
        </w:trPr>
        <w:tc>
          <w:tcPr>
            <w:tcW w:type="dxa" w:w="663"/>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14</w:t>
            </w:r>
          </w:p>
        </w:tc>
        <w:tc>
          <w:tcPr>
            <w:tcW w:type="dxa" w:w="1991"/>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Home / Journal</w:t>
            </w:r>
          </w:p>
        </w:tc>
        <w:tc>
          <w:tcPr>
            <w:tcW w:type="dxa" w:w="2654"/>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See cycle stage, counts, history</w:t>
            </w:r>
          </w:p>
        </w:tc>
        <w:tc>
          <w:tcPr>
            <w:tcW w:type="dxa" w:w="3718"/>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color w:val="15201A"/>
                <w:sz w:val="17"/>
                <w:szCs w:val="17"/>
              </w:rPr>
              <w:t xml:space="preserve">Bottom nav: Home, Topics, Journal</w:t>
            </w:r>
          </w:p>
        </w:tc>
      </w:tr>
    </w:tbl>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Part C — User Journey Maps</w:t>
      </w:r>
    </w:p>
    <w:p>
      <w:pPr>
        <w:spacing w:after="120" w:before="0" w:line="300"/>
      </w:pPr>
      <w:r>
        <w:rPr>
          <w:rFonts w:ascii="Arial" w:cs="Arial" w:eastAsia="Arial" w:hAnsi="Arial"/>
          <w:i/>
          <w:iCs/>
          <w:color w:val="4E5B53"/>
          <w:sz w:val="21"/>
          <w:szCs w:val="21"/>
        </w:rPr>
        <w:t xml:space="preserve">Illustrative journeys built on the illustrative personas and on the screens as built. Feelings are hypotheses to test in walkthroughs.</w:t>
      </w:r>
    </w:p>
    <w:p>
      <w:pPr>
        <w:pStyle w:val="Heading2"/>
        <w:keepNext/>
      </w:pPr>
      <w:r>
        <w:t xml:space="preserve">Journey 1 — Sunita: first talk about puberty with Ananya (15)</w:t>
      </w:r>
    </w:p>
    <w:p>
      <w:pPr>
        <w:spacing w:after="120" w:before="0" w:line="300"/>
      </w:pPr>
      <w:r>
        <w:rPr>
          <w:rFonts w:ascii="Arial" w:cs="Arial" w:eastAsia="Arial" w:hAnsi="Arial"/>
          <w:color w:val="4E5B53"/>
          <w:sz w:val="21"/>
          <w:szCs w:val="21"/>
        </w:rPr>
        <w:t xml:space="preserve">Difficulty chosen: “I don’t know how to start”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500"/>
        <w:gridCol w:w="2196"/>
        <w:gridCol w:w="2196"/>
        <w:gridCol w:w="2196"/>
        <w:gridCol w:w="2196"/>
        <w:gridCol w:w="2196"/>
        <w:gridCol w:w="2196"/>
      </w:tblGrid>
      <w:tr>
        <w:trPr>
          <w:tblHeader/>
        </w:trPr>
        <w:tc>
          <w:tcPr>
            <w:tcW w:type="dxa" w:w="1500"/>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p>
        </w:tc>
        <w:tc>
          <w:tcPr>
            <w:tcW w:type="dxa" w:w="219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Trigger</w:t>
            </w:r>
          </w:p>
        </w:tc>
        <w:tc>
          <w:tcPr>
            <w:tcW w:type="dxa" w:w="219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Choose</w:t>
            </w:r>
          </w:p>
        </w:tc>
        <w:tc>
          <w:tcPr>
            <w:tcW w:type="dxa" w:w="219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Prepare</w:t>
            </w:r>
          </w:p>
        </w:tc>
        <w:tc>
          <w:tcPr>
            <w:tcW w:type="dxa" w:w="219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Talk</w:t>
            </w:r>
          </w:p>
        </w:tc>
        <w:tc>
          <w:tcPr>
            <w:tcW w:type="dxa" w:w="219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Reflect</w:t>
            </w:r>
          </w:p>
        </w:tc>
        <w:tc>
          <w:tcPr>
            <w:tcW w:type="dxa" w:w="219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Next</w:t>
            </w:r>
          </w:p>
        </w:tc>
      </w:tr>
      <w:tr>
        <w:trPr>
          <w:cantSplit/>
        </w:trPr>
        <w:tc>
          <w:tcPr>
            <w:tcW w:type="dxa" w:w="1500"/>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Doing</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Finds a pad wrapper in the bin and realises she’s never explained anything</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Opens Raise from a school WhatsApp card; picks Puberty</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Reads the 3 points on the metro; picks “Nobody explained this to me, and I wish they had”</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Says it on a walk to the market</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Taps “Went well” + “We laughed” + “Asked something I couldn’t answer”</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Gets “come back within 48 hours with what you found”</w:t>
            </w:r>
          </w:p>
        </w:tc>
      </w:tr>
      <w:tr>
        <w:trPr>
          <w:cantSplit/>
        </w:trPr>
        <w:tc>
          <w:tcPr>
            <w:tcW w:type="dxa" w:w="1500"/>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Thinking</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“I should have done this two years ago.”</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“Which one? All of them scare me.”</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“That opener sounds like me.”</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“She’s smiling. Keep it short.”</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“I didn’t know about the doctor question.”</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“I can actually do this again.”</w:t>
            </w:r>
          </w:p>
        </w:tc>
      </w:tr>
      <w:tr>
        <w:trPr>
          <w:cantSplit/>
        </w:trPr>
        <w:tc>
          <w:tcPr>
            <w:tcW w:type="dxa" w:w="1500"/>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Feeling</w:t>
            </w:r>
          </w:p>
        </w:tc>
        <w:tc>
          <w:tcPr>
            <w:tcW w:type="dxa" w:w="2196"/>
            <w:tcBorders>
              <w:top w:val="single" w:color="D5DDD6" w:sz="4"/>
              <w:left w:val="single" w:color="D5DDD6" w:sz="4"/>
              <w:bottom w:val="single" w:color="D5DDD6" w:sz="4"/>
              <w:right w:val="single" w:color="D5DDD6" w:sz="4"/>
            </w:tcBorders>
            <w:shd w:fill="FBEBC8"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 Guilty</w:t>
            </w:r>
          </w:p>
        </w:tc>
        <w:tc>
          <w:tcPr>
            <w:tcW w:type="dxa" w:w="2196"/>
            <w:tcBorders>
              <w:top w:val="single" w:color="D5DDD6" w:sz="4"/>
              <w:left w:val="single" w:color="D5DDD6" w:sz="4"/>
              <w:bottom w:val="single" w:color="D5DDD6" w:sz="4"/>
              <w:right w:val="single" w:color="D5DDD6" w:sz="4"/>
            </w:tcBorders>
            <w:shd w:fill="FBEBC8"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 Nervous</w:t>
            </w:r>
          </w:p>
        </w:tc>
        <w:tc>
          <w:tcPr>
            <w:tcW w:type="dxa" w:w="2196"/>
            <w:tcBorders>
              <w:top w:val="single" w:color="D5DDD6" w:sz="4"/>
              <w:left w:val="single" w:color="D5DDD6" w:sz="4"/>
              <w:bottom w:val="single" w:color="D5DDD6" w:sz="4"/>
              <w:right w:val="single" w:color="D5DDD6" w:sz="4"/>
            </w:tcBorders>
            <w:shd w:fill="FBEBC8"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 Calmer</w:t>
            </w:r>
          </w:p>
        </w:tc>
        <w:tc>
          <w:tcPr>
            <w:tcW w:type="dxa" w:w="2196"/>
            <w:tcBorders>
              <w:top w:val="single" w:color="D5DDD6" w:sz="4"/>
              <w:left w:val="single" w:color="D5DDD6" w:sz="4"/>
              <w:bottom w:val="single" w:color="D5DDD6" w:sz="4"/>
              <w:right w:val="single" w:color="D5DDD6" w:sz="4"/>
            </w:tcBorders>
            <w:shd w:fill="FBEBC8"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 Relieved</w:t>
            </w:r>
          </w:p>
        </w:tc>
        <w:tc>
          <w:tcPr>
            <w:tcW w:type="dxa" w:w="2196"/>
            <w:tcBorders>
              <w:top w:val="single" w:color="D5DDD6" w:sz="4"/>
              <w:left w:val="single" w:color="D5DDD6" w:sz="4"/>
              <w:bottom w:val="single" w:color="D5DDD6" w:sz="4"/>
              <w:right w:val="single" w:color="D5DDD6" w:sz="4"/>
            </w:tcBorders>
            <w:shd w:fill="FBEBC8"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 Proud</w:t>
            </w:r>
          </w:p>
        </w:tc>
        <w:tc>
          <w:tcPr>
            <w:tcW w:type="dxa" w:w="2196"/>
            <w:tcBorders>
              <w:top w:val="single" w:color="D5DDD6" w:sz="4"/>
              <w:left w:val="single" w:color="D5DDD6" w:sz="4"/>
              <w:bottom w:val="single" w:color="D5DDD6" w:sz="4"/>
              <w:right w:val="single" w:color="D5DDD6" w:sz="4"/>
            </w:tcBorders>
            <w:shd w:fill="FBEBC8"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 Confident</w:t>
            </w:r>
          </w:p>
        </w:tc>
      </w:tr>
      <w:tr>
        <w:trPr>
          <w:cantSplit/>
        </w:trPr>
        <w:tc>
          <w:tcPr>
            <w:tcW w:type="dxa" w:w="1500"/>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Pain point</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No words in Hindi or English</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Too many topics feel urgent</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Worried about questions</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Freezes on one question</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Might forget to follow up</w:t>
            </w:r>
          </w:p>
        </w:tc>
      </w:tr>
      <w:tr>
        <w:trPr>
          <w:cantSplit/>
        </w:trPr>
        <w:tc>
          <w:tcPr>
            <w:tcW w:type="dxa" w:w="1500"/>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Opportunity</w:t>
            </w:r>
          </w:p>
        </w:tc>
        <w:tc>
          <w:tcPr>
            <w:tcW w:type="dxa" w:w="219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Shareable cards via schools</w:t>
            </w:r>
          </w:p>
        </w:tc>
        <w:tc>
          <w:tcPr>
            <w:tcW w:type="dxa" w:w="219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“Start with the easiest” hint</w:t>
            </w:r>
          </w:p>
        </w:tc>
        <w:tc>
          <w:tcPr>
            <w:tcW w:type="dxa" w:w="219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Anticipate step</w:t>
            </w:r>
          </w:p>
        </w:tc>
        <w:tc>
          <w:tcPr>
            <w:tcW w:type="dxa" w:w="219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Pocket card “if stuck”</w:t>
            </w:r>
          </w:p>
        </w:tc>
        <w:tc>
          <w:tcPr>
            <w:tcW w:type="dxa" w:w="219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Chip-based reflection</w:t>
            </w:r>
          </w:p>
        </w:tc>
        <w:tc>
          <w:tcPr>
            <w:tcW w:type="dxa" w:w="219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Reminder at chosen moment (V2)</w:t>
            </w:r>
          </w:p>
        </w:tc>
      </w:tr>
    </w:tbl>
    <w:p>
      <w:r>
        <w:br w:type="page"/>
      </w:r>
    </w:p>
    <w:p>
      <w:pPr>
        <w:pStyle w:val="Heading2"/>
        <w:keepNext/>
      </w:pPr>
      <w:r>
        <w:t xml:space="preserve">Journey 2 — Rajesh: repairing after a bad attempt, money and relationships with Kabir (18)</w:t>
      </w:r>
    </w:p>
    <w:p>
      <w:pPr>
        <w:spacing w:after="120" w:before="0" w:line="300"/>
      </w:pPr>
      <w:r>
        <w:rPr>
          <w:rFonts w:ascii="Arial" w:cs="Arial" w:eastAsia="Arial" w:hAnsi="Arial"/>
          <w:color w:val="4E5B53"/>
          <w:sz w:val="21"/>
          <w:szCs w:val="21"/>
        </w:rPr>
        <w:t xml:space="preserve">Difficulty chosen: “I tried before and it went badly”</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500"/>
        <w:gridCol w:w="2196"/>
        <w:gridCol w:w="2196"/>
        <w:gridCol w:w="2196"/>
        <w:gridCol w:w="2196"/>
        <w:gridCol w:w="2196"/>
        <w:gridCol w:w="2196"/>
      </w:tblGrid>
      <w:tr>
        <w:trPr>
          <w:tblHeader/>
        </w:trPr>
        <w:tc>
          <w:tcPr>
            <w:tcW w:type="dxa" w:w="1500"/>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p>
        </w:tc>
        <w:tc>
          <w:tcPr>
            <w:tcW w:type="dxa" w:w="219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Trigger</w:t>
            </w:r>
          </w:p>
        </w:tc>
        <w:tc>
          <w:tcPr>
            <w:tcW w:type="dxa" w:w="219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Choose</w:t>
            </w:r>
          </w:p>
        </w:tc>
        <w:tc>
          <w:tcPr>
            <w:tcW w:type="dxa" w:w="219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Prepare</w:t>
            </w:r>
          </w:p>
        </w:tc>
        <w:tc>
          <w:tcPr>
            <w:tcW w:type="dxa" w:w="219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Talk</w:t>
            </w:r>
          </w:p>
        </w:tc>
        <w:tc>
          <w:tcPr>
            <w:tcW w:type="dxa" w:w="219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Reflect</w:t>
            </w:r>
          </w:p>
        </w:tc>
        <w:tc>
          <w:tcPr>
            <w:tcW w:type="dxa" w:w="219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Next</w:t>
            </w:r>
          </w:p>
        </w:tc>
      </w:tr>
      <w:tr>
        <w:trPr>
          <w:cantSplit/>
        </w:trPr>
        <w:tc>
          <w:tcPr>
            <w:tcW w:type="dxa" w:w="1500"/>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Doing</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Kabir asks for money for a trading app; Rajesh remembers shouting last time</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Picks Money; chooses “I tried before…”</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Reads “Repair first, then restart”; picks the “money mistake at your age” opener</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Opens with an apology for last time, then the story</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Taps “Stalled” + “Changed the subject”</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Next: Money again in 3–4 days with a lighter opener</w:t>
            </w:r>
          </w:p>
        </w:tc>
      </w:tr>
      <w:tr>
        <w:trPr>
          <w:cantSplit/>
        </w:trPr>
        <w:tc>
          <w:tcPr>
            <w:tcW w:type="dxa" w:w="1500"/>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Thinking</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“If I say no, he’ll do it anyway.”</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“Finally, an option that fits me.”</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“Apologising to my son? Hmm.”</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“He listened to the apology, then went to his room.”</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“Did I fail again?”</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“So a stall is normal.”</w:t>
            </w:r>
          </w:p>
        </w:tc>
      </w:tr>
      <w:tr>
        <w:trPr>
          <w:cantSplit/>
        </w:trPr>
        <w:tc>
          <w:tcPr>
            <w:tcW w:type="dxa" w:w="1500"/>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Feeling</w:t>
            </w:r>
          </w:p>
        </w:tc>
        <w:tc>
          <w:tcPr>
            <w:tcW w:type="dxa" w:w="2196"/>
            <w:tcBorders>
              <w:top w:val="single" w:color="D5DDD6" w:sz="4"/>
              <w:left w:val="single" w:color="D5DDD6" w:sz="4"/>
              <w:bottom w:val="single" w:color="D5DDD6" w:sz="4"/>
              <w:right w:val="single" w:color="D5DDD6" w:sz="4"/>
            </w:tcBorders>
            <w:shd w:fill="FBEBC8"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 Frustrated</w:t>
            </w:r>
          </w:p>
        </w:tc>
        <w:tc>
          <w:tcPr>
            <w:tcW w:type="dxa" w:w="2196"/>
            <w:tcBorders>
              <w:top w:val="single" w:color="D5DDD6" w:sz="4"/>
              <w:left w:val="single" w:color="D5DDD6" w:sz="4"/>
              <w:bottom w:val="single" w:color="D5DDD6" w:sz="4"/>
              <w:right w:val="single" w:color="D5DDD6" w:sz="4"/>
            </w:tcBorders>
            <w:shd w:fill="FBEBC8"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 Hopeful</w:t>
            </w:r>
          </w:p>
        </w:tc>
        <w:tc>
          <w:tcPr>
            <w:tcW w:type="dxa" w:w="2196"/>
            <w:tcBorders>
              <w:top w:val="single" w:color="D5DDD6" w:sz="4"/>
              <w:left w:val="single" w:color="D5DDD6" w:sz="4"/>
              <w:bottom w:val="single" w:color="D5DDD6" w:sz="4"/>
              <w:right w:val="single" w:color="D5DDD6" w:sz="4"/>
            </w:tcBorders>
            <w:shd w:fill="FBEBC8"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 Uneasy</w:t>
            </w:r>
          </w:p>
        </w:tc>
        <w:tc>
          <w:tcPr>
            <w:tcW w:type="dxa" w:w="2196"/>
            <w:tcBorders>
              <w:top w:val="single" w:color="D5DDD6" w:sz="4"/>
              <w:left w:val="single" w:color="D5DDD6" w:sz="4"/>
              <w:bottom w:val="single" w:color="D5DDD6" w:sz="4"/>
              <w:right w:val="single" w:color="D5DDD6" w:sz="4"/>
            </w:tcBorders>
            <w:shd w:fill="FBEBC8"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 Mixed</w:t>
            </w:r>
          </w:p>
        </w:tc>
        <w:tc>
          <w:tcPr>
            <w:tcW w:type="dxa" w:w="2196"/>
            <w:tcBorders>
              <w:top w:val="single" w:color="D5DDD6" w:sz="4"/>
              <w:left w:val="single" w:color="D5DDD6" w:sz="4"/>
              <w:bottom w:val="single" w:color="D5DDD6" w:sz="4"/>
              <w:right w:val="single" w:color="D5DDD6" w:sz="4"/>
            </w:tcBorders>
            <w:shd w:fill="FBEBC8"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 Discouraged</w:t>
            </w:r>
          </w:p>
        </w:tc>
        <w:tc>
          <w:tcPr>
            <w:tcW w:type="dxa" w:w="2196"/>
            <w:tcBorders>
              <w:top w:val="single" w:color="D5DDD6" w:sz="4"/>
              <w:left w:val="single" w:color="D5DDD6" w:sz="4"/>
              <w:bottom w:val="single" w:color="D5DDD6" w:sz="4"/>
              <w:right w:val="single" w:color="D5DDD6" w:sz="4"/>
            </w:tcBorders>
            <w:shd w:fill="FBEBC8"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 Reassured</w:t>
            </w:r>
          </w:p>
        </w:tc>
      </w:tr>
      <w:tr>
        <w:trPr>
          <w:cantSplit/>
        </w:trPr>
        <w:tc>
          <w:tcPr>
            <w:tcW w:type="dxa" w:w="1500"/>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Pain point</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Pride; generation gap</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Apology feels like losing face</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Son shuts down early</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Reads stall as failure</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Might give up</w:t>
            </w:r>
          </w:p>
        </w:tc>
      </w:tr>
      <w:tr>
        <w:trPr>
          <w:cantSplit/>
        </w:trPr>
        <w:tc>
          <w:tcPr>
            <w:tcW w:type="dxa" w:w="1500"/>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Opportunity</w:t>
            </w:r>
          </w:p>
        </w:tc>
        <w:tc>
          <w:tcPr>
            <w:tcW w:type="dxa" w:w="219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Money as an on-ramp topic</w:t>
            </w:r>
          </w:p>
        </w:tc>
        <w:tc>
          <w:tcPr>
            <w:tcW w:type="dxa" w:w="219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Difficulty-based paths</w:t>
            </w:r>
          </w:p>
        </w:tc>
        <w:tc>
          <w:tcPr>
            <w:tcW w:type="dxa" w:w="219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Explain why repair works</w:t>
            </w:r>
          </w:p>
        </w:tc>
        <w:tc>
          <w:tcPr>
            <w:tcW w:type="dxa" w:w="219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Ending early is fine (tip)</w:t>
            </w:r>
          </w:p>
        </w:tc>
        <w:tc>
          <w:tcPr>
            <w:tcW w:type="dxa" w:w="219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“You started. That matters.” headline</w:t>
            </w:r>
          </w:p>
        </w:tc>
        <w:tc>
          <w:tcPr>
            <w:tcW w:type="dxa" w:w="219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Shorter time limit next time</w:t>
            </w:r>
          </w:p>
        </w:tc>
      </w:tr>
    </w:tbl>
    <w:p>
      <w:r>
        <w:br w:type="page"/>
      </w:r>
    </w:p>
    <w:p>
      <w:pPr>
        <w:pStyle w:val="Heading2"/>
        <w:keepNext/>
      </w:pPr>
      <w:r>
        <w:t xml:space="preserve">Journey 3 — Farah: online safety with Zaid (14) leads to an unexpected disclosure</w:t>
      </w:r>
    </w:p>
    <w:p>
      <w:pPr>
        <w:spacing w:after="120" w:before="0" w:line="300"/>
      </w:pPr>
      <w:r>
        <w:rPr>
          <w:rFonts w:ascii="Arial" w:cs="Arial" w:eastAsia="Arial" w:hAnsi="Arial"/>
          <w:color w:val="4E5B53"/>
          <w:sz w:val="21"/>
          <w:szCs w:val="21"/>
        </w:rPr>
        <w:t xml:space="preserve">Difficulty chosen: “They might get defensive”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500"/>
        <w:gridCol w:w="2196"/>
        <w:gridCol w:w="2196"/>
        <w:gridCol w:w="2196"/>
        <w:gridCol w:w="2196"/>
        <w:gridCol w:w="2196"/>
        <w:gridCol w:w="2196"/>
      </w:tblGrid>
      <w:tr>
        <w:trPr>
          <w:tblHeader/>
        </w:trPr>
        <w:tc>
          <w:tcPr>
            <w:tcW w:type="dxa" w:w="1500"/>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p>
        </w:tc>
        <w:tc>
          <w:tcPr>
            <w:tcW w:type="dxa" w:w="219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Trigger</w:t>
            </w:r>
          </w:p>
        </w:tc>
        <w:tc>
          <w:tcPr>
            <w:tcW w:type="dxa" w:w="219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Choose</w:t>
            </w:r>
          </w:p>
        </w:tc>
        <w:tc>
          <w:tcPr>
            <w:tcW w:type="dxa" w:w="219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Prepare</w:t>
            </w:r>
          </w:p>
        </w:tc>
        <w:tc>
          <w:tcPr>
            <w:tcW w:type="dxa" w:w="219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Talk</w:t>
            </w:r>
          </w:p>
        </w:tc>
        <w:tc>
          <w:tcPr>
            <w:tcW w:type="dxa" w:w="219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Reflect</w:t>
            </w:r>
          </w:p>
        </w:tc>
        <w:tc>
          <w:tcPr>
            <w:tcW w:type="dxa" w:w="219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Next</w:t>
            </w:r>
          </w:p>
        </w:tc>
      </w:tr>
      <w:tr>
        <w:trPr>
          <w:cantSplit/>
        </w:trPr>
        <w:tc>
          <w:tcPr>
            <w:tcW w:type="dxa" w:w="1500"/>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Doing</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Reads news about online scams targeting teens</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Picks Online safety at 10 pm</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Picks “if something online made you uncomfortable, you wouldn’t be in trouble”</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Zaid says a friend is being messaged by someone “claiming to be 16”</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Writes that in the note; taps “Something unexpected”</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V1: safety card — 1930 / cybercrime.gov.in, 1098; keep evidence, don’t confront</w:t>
            </w:r>
          </w:p>
        </w:tc>
      </w:tr>
      <w:tr>
        <w:trPr>
          <w:cantSplit/>
        </w:trPr>
        <w:tc>
          <w:tcPr>
            <w:tcW w:type="dxa" w:w="1500"/>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Thinking</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“Is he talking to strangers?”</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“I don’t have time for a course.”</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“I can promise that.”</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“This is bigger than a talk.”</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“What do I actually do now?”</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“Okay, there’s a real next step.”</w:t>
            </w:r>
          </w:p>
        </w:tc>
      </w:tr>
      <w:tr>
        <w:trPr>
          <w:cantSplit/>
        </w:trPr>
        <w:tc>
          <w:tcPr>
            <w:tcW w:type="dxa" w:w="1500"/>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Feeling</w:t>
            </w:r>
          </w:p>
        </w:tc>
        <w:tc>
          <w:tcPr>
            <w:tcW w:type="dxa" w:w="2196"/>
            <w:tcBorders>
              <w:top w:val="single" w:color="D5DDD6" w:sz="4"/>
              <w:left w:val="single" w:color="D5DDD6" w:sz="4"/>
              <w:bottom w:val="single" w:color="D5DDD6" w:sz="4"/>
              <w:right w:val="single" w:color="D5DDD6" w:sz="4"/>
            </w:tcBorders>
            <w:shd w:fill="FBEBC8"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 Anxious</w:t>
            </w:r>
          </w:p>
        </w:tc>
        <w:tc>
          <w:tcPr>
            <w:tcW w:type="dxa" w:w="2196"/>
            <w:tcBorders>
              <w:top w:val="single" w:color="D5DDD6" w:sz="4"/>
              <w:left w:val="single" w:color="D5DDD6" w:sz="4"/>
              <w:bottom w:val="single" w:color="D5DDD6" w:sz="4"/>
              <w:right w:val="single" w:color="D5DDD6" w:sz="4"/>
            </w:tcBorders>
            <w:shd w:fill="FBEBC8"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 Tired</w:t>
            </w:r>
          </w:p>
        </w:tc>
        <w:tc>
          <w:tcPr>
            <w:tcW w:type="dxa" w:w="2196"/>
            <w:tcBorders>
              <w:top w:val="single" w:color="D5DDD6" w:sz="4"/>
              <w:left w:val="single" w:color="D5DDD6" w:sz="4"/>
              <w:bottom w:val="single" w:color="D5DDD6" w:sz="4"/>
              <w:right w:val="single" w:color="D5DDD6" w:sz="4"/>
            </w:tcBorders>
            <w:shd w:fill="FBEBC8"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 Ready</w:t>
            </w:r>
          </w:p>
        </w:tc>
        <w:tc>
          <w:tcPr>
            <w:tcW w:type="dxa" w:w="2196"/>
            <w:tcBorders>
              <w:top w:val="single" w:color="D5DDD6" w:sz="4"/>
              <w:left w:val="single" w:color="D5DDD6" w:sz="4"/>
              <w:bottom w:val="single" w:color="D5DDD6" w:sz="4"/>
              <w:right w:val="single" w:color="D5DDD6" w:sz="4"/>
            </w:tcBorders>
            <w:shd w:fill="FBEBC8"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 Alarmed</w:t>
            </w:r>
          </w:p>
        </w:tc>
        <w:tc>
          <w:tcPr>
            <w:tcW w:type="dxa" w:w="2196"/>
            <w:tcBorders>
              <w:top w:val="single" w:color="D5DDD6" w:sz="4"/>
              <w:left w:val="single" w:color="D5DDD6" w:sz="4"/>
              <w:bottom w:val="single" w:color="D5DDD6" w:sz="4"/>
              <w:right w:val="single" w:color="D5DDD6" w:sz="4"/>
            </w:tcBorders>
            <w:shd w:fill="FBEBC8"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 Unsure</w:t>
            </w:r>
          </w:p>
        </w:tc>
        <w:tc>
          <w:tcPr>
            <w:tcW w:type="dxa" w:w="2196"/>
            <w:tcBorders>
              <w:top w:val="single" w:color="D5DDD6" w:sz="4"/>
              <w:left w:val="single" w:color="D5DDD6" w:sz="4"/>
              <w:bottom w:val="single" w:color="D5DDD6" w:sz="4"/>
              <w:right w:val="single" w:color="D5DDD6" w:sz="4"/>
            </w:tcBorders>
            <w:shd w:fill="FBEBC8"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 Supported</w:t>
            </w:r>
          </w:p>
        </w:tc>
      </w:tr>
      <w:tr>
        <w:trPr>
          <w:cantSplit/>
        </w:trPr>
        <w:tc>
          <w:tcPr>
            <w:tcW w:type="dxa" w:w="1500"/>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Pain point</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Fear from news</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Late night, alone</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Worry he’ll hide things</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No guidance for disclosures</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Prototype today only shows a normal insight</w:t>
            </w:r>
          </w:p>
        </w:tc>
        <w:tc>
          <w:tcPr>
            <w:tcW w:type="dxa" w:w="219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Needs a follow-up with Zaid</w:t>
            </w:r>
          </w:p>
        </w:tc>
      </w:tr>
      <w:tr>
        <w:trPr>
          <w:cantSplit/>
        </w:trPr>
        <w:tc>
          <w:tcPr>
            <w:tcW w:type="dxa" w:w="1500"/>
            <w:tcBorders>
              <w:top w:val="single" w:color="D5DDD6" w:sz="4"/>
              <w:left w:val="single" w:color="D5DDD6" w:sz="4"/>
              <w:bottom w:val="single" w:color="D5DDD6" w:sz="4"/>
              <w:right w:val="single" w:color="D5DDD6" w:sz="4"/>
            </w:tcBorders>
            <w:shd w:fill="F2F4EF" w:color="auto" w:val="clear"/>
            <w:tcMar>
              <w:top w:type="dxa" w:w="70"/>
              <w:left w:type="dxa" w:w="100"/>
              <w:bottom w:type="dxa" w:w="70"/>
              <w:right w:type="dxa" w:w="100"/>
            </w:tcMar>
          </w:tcPr>
          <w:p>
            <w:pPr>
              <w:spacing w:after="40" w:line="260"/>
            </w:pPr>
            <w:r>
              <w:rPr>
                <w:rFonts w:ascii="Arial" w:cs="Arial" w:eastAsia="Arial" w:hAnsi="Arial"/>
                <w:b/>
                <w:bCs/>
                <w:color w:val="15201A"/>
                <w:sz w:val="18"/>
                <w:szCs w:val="18"/>
              </w:rPr>
              <w:t xml:space="preserve">Opportunity</w:t>
            </w:r>
          </w:p>
        </w:tc>
        <w:tc>
          <w:tcPr>
            <w:tcW w:type="dxa" w:w="219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Calm framing, not fear</w:t>
            </w:r>
          </w:p>
        </w:tc>
        <w:tc>
          <w:tcPr>
            <w:tcW w:type="dxa" w:w="219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5-minute promise</w:t>
            </w:r>
          </w:p>
        </w:tc>
        <w:tc>
          <w:tcPr>
            <w:tcW w:type="dxa" w:w="219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Safety-promise opener</w:t>
            </w:r>
          </w:p>
        </w:tc>
        <w:tc>
          <w:tcPr>
            <w:tcW w:type="dxa" w:w="219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Escalation rules</w:t>
            </w:r>
          </w:p>
        </w:tc>
        <w:tc>
          <w:tcPr>
            <w:tcW w:type="dxa" w:w="219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F10 safety card (V1)</w:t>
            </w:r>
          </w:p>
        </w:tc>
        <w:tc>
          <w:tcPr>
            <w:tcW w:type="dxa" w:w="2196"/>
            <w:tcBorders>
              <w:top w:val="single" w:color="D5DDD6" w:sz="4"/>
              <w:left w:val="single" w:color="D5DDD6" w:sz="4"/>
              <w:bottom w:val="single" w:color="D5DDD6" w:sz="4"/>
              <w:right w:val="single" w:color="D5DDD6" w:sz="4"/>
            </w:tcBorders>
            <w:shd w:fill="DCEBDD" w:color="auto" w:val="clear"/>
            <w:tcMar>
              <w:top w:type="dxa" w:w="70"/>
              <w:left w:type="dxa" w:w="100"/>
              <w:bottom w:type="dxa" w:w="70"/>
              <w:right w:type="dxa" w:w="100"/>
            </w:tcMar>
          </w:tcPr>
          <w:p>
            <w:pPr>
              <w:spacing w:after="40" w:line="260"/>
            </w:pPr>
            <w:r>
              <w:rPr>
                <w:rFonts w:ascii="Arial" w:cs="Arial" w:eastAsia="Arial" w:hAnsi="Arial"/>
                <w:b w:val="false"/>
                <w:bCs w:val="false"/>
                <w:color w:val="15201A"/>
                <w:sz w:val="18"/>
                <w:szCs w:val="18"/>
              </w:rPr>
              <w:t xml:space="preserve">Follow-up guide within 48 h</w:t>
            </w:r>
          </w:p>
        </w:tc>
      </w:tr>
    </w:tbl>
    <w:p>
      <w:pPr>
        <w:sectPr>
          <w:headerReference w:type="default" r:id="rId9"/>
          <w:footerReference w:type="default" r:id="rId10"/>
          <w:pgSz w:w="16838" w:h="11906" w:orient="landscape"/>
          <w:pgMar w:top="1080" w:right="1080" w:bottom="1080" w:left="1080" w:header="708" w:footer="708" w:gutter="0"/>
          <w:pgNumType/>
          <w:docGrid w:linePitch="360"/>
        </w:sectPr>
      </w:pPr>
    </w:p>
    <w:p>
      <w:pPr>
        <w:pStyle w:val="Heading1"/>
      </w:pPr>
      <w:r>
        <w:t xml:space="preserve">Part D — Wireframes of Key Screens</w:t>
      </w:r>
    </w:p>
    <w:p>
      <w:pPr>
        <w:spacing w:after="120" w:before="0" w:line="300"/>
      </w:pPr>
      <w:r>
        <w:rPr>
          <w:rFonts w:ascii="Arial" w:cs="Arial" w:eastAsia="Arial" w:hAnsi="Arial"/>
          <w:color w:val="15201A"/>
          <w:sz w:val="21"/>
          <w:szCs w:val="21"/>
        </w:rPr>
        <w:t xml:space="preserve">Captured from the live prototype (https://shuklahimanshu20.github.io/Raise_project/) at a 390 × 844 phone viewport, using sample data (parent Arjun, teen Maya). Each screen is annotated with its job and the key design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813"/>
        <w:gridCol w:w="1700"/>
        <w:gridCol w:w="2813"/>
      </w:tblGrid>
      <w:tr>
        <w:trPr>
          <w:cantSplit/>
        </w:trPr>
        <w:tc>
          <w:tcPr>
            <w:tcW w:type="dxa" w:w="1700"/>
            <w:tcBorders>
              <w:top w:val="none" w:color="auto" w:sz="0"/>
              <w:left w:val="none" w:color="auto" w:sz="0"/>
              <w:bottom w:val="none" w:color="auto" w:sz="0"/>
              <w:right w:val="none" w:color="auto" w:sz="0"/>
            </w:tcBorders>
            <w:tcMar>
              <w:top w:type="dxa" w:w="80"/>
              <w:left w:type="dxa" w:w="0"/>
              <w:bottom w:type="dxa" w:w="80"/>
              <w:right w:type="dxa" w:w="60"/>
            </w:tcMar>
          </w:tcPr>
          <w:p>
            <w:pPr>
              <w:spacing w:after="0"/>
              <w:jc w:val="center"/>
            </w:pPr>
            <w:r>
              <w:drawing>
                <wp:inline distT="0" distB="0" distL="0" distR="0">
                  <wp:extent cx="1000125" cy="2152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00125" cy="2152650"/>
                          </a:xfrm>
                          <a:prstGeom prst="rect">
                            <a:avLst/>
                          </a:prstGeom>
                        </pic:spPr>
                      </pic:pic>
                    </a:graphicData>
                  </a:graphic>
                </wp:inline>
              </w:drawing>
            </w:r>
          </w:p>
        </w:tc>
        <w:tc>
          <w:tcPr>
            <w:tcW w:type="dxa" w:w="2813"/>
            <w:tcBorders>
              <w:top w:val="none" w:color="auto" w:sz="0"/>
              <w:left w:val="none" w:color="auto" w:sz="0"/>
              <w:bottom w:val="none" w:color="auto" w:sz="0"/>
              <w:right w:val="none" w:color="auto" w:sz="0"/>
            </w:tcBorders>
            <w:tcMar>
              <w:top w:type="dxa" w:w="120"/>
              <w:left w:type="dxa" w:w="80"/>
              <w:bottom w:type="dxa" w:w="80"/>
              <w:right w:type="dxa" w:w="200"/>
            </w:tcMar>
          </w:tcPr>
          <w:p>
            <w:pPr>
              <w:spacing w:after="60"/>
            </w:pPr>
            <w:r>
              <w:rPr>
                <w:rFonts w:ascii="Arial" w:cs="Arial" w:eastAsia="Arial" w:hAnsi="Arial"/>
                <w:b/>
                <w:bCs/>
                <w:color w:val="1E4D3B"/>
                <w:sz w:val="20"/>
                <w:szCs w:val="20"/>
              </w:rPr>
              <w:t xml:space="preserve">Cover</w:t>
            </w:r>
          </w:p>
          <w:p>
            <w:pPr>
              <w:spacing w:line="260"/>
            </w:pPr>
            <w:r>
              <w:rPr>
                <w:rFonts w:ascii="Arial" w:cs="Arial" w:eastAsia="Arial" w:hAnsi="Arial"/>
                <w:color w:val="15201A"/>
                <w:sz w:val="17"/>
                <w:szCs w:val="17"/>
              </w:rPr>
              <w:t xml:space="preserve">Promise in one line; 3-step how-it-works; one gold primary action. “For parents only · Your teen never sees this app” sets trust up front.</w:t>
            </w:r>
          </w:p>
        </w:tc>
        <w:tc>
          <w:tcPr>
            <w:tcW w:type="dxa" w:w="1700"/>
            <w:tcBorders>
              <w:top w:val="none" w:color="auto" w:sz="0"/>
              <w:left w:val="none" w:color="auto" w:sz="0"/>
              <w:bottom w:val="none" w:color="auto" w:sz="0"/>
              <w:right w:val="none" w:color="auto" w:sz="0"/>
            </w:tcBorders>
            <w:tcMar>
              <w:top w:type="dxa" w:w="80"/>
              <w:left w:type="dxa" w:w="0"/>
              <w:bottom w:type="dxa" w:w="80"/>
              <w:right w:type="dxa" w:w="60"/>
            </w:tcMar>
          </w:tcPr>
          <w:p>
            <w:pPr>
              <w:spacing w:after="0"/>
              <w:jc w:val="center"/>
            </w:pPr>
            <w:r>
              <w:drawing>
                <wp:inline distT="0" distB="0" distL="0" distR="0">
                  <wp:extent cx="1000125" cy="2152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000125" cy="2152650"/>
                          </a:xfrm>
                          <a:prstGeom prst="rect">
                            <a:avLst/>
                          </a:prstGeom>
                        </pic:spPr>
                      </pic:pic>
                    </a:graphicData>
                  </a:graphic>
                </wp:inline>
              </w:drawing>
            </w:r>
          </w:p>
        </w:tc>
        <w:tc>
          <w:tcPr>
            <w:tcW w:type="dxa" w:w="2813"/>
            <w:tcBorders>
              <w:top w:val="none" w:color="auto" w:sz="0"/>
              <w:left w:val="none" w:color="auto" w:sz="0"/>
              <w:bottom w:val="none" w:color="auto" w:sz="0"/>
              <w:right w:val="none" w:color="auto" w:sz="0"/>
            </w:tcBorders>
            <w:tcMar>
              <w:top w:type="dxa" w:w="120"/>
              <w:left w:type="dxa" w:w="80"/>
              <w:bottom w:type="dxa" w:w="80"/>
              <w:right w:type="dxa" w:w="200"/>
            </w:tcMar>
          </w:tcPr>
          <w:p>
            <w:pPr>
              <w:spacing w:after="60"/>
            </w:pPr>
            <w:r>
              <w:rPr>
                <w:rFonts w:ascii="Arial" w:cs="Arial" w:eastAsia="Arial" w:hAnsi="Arial"/>
                <w:b/>
                <w:bCs/>
                <w:color w:val="1E4D3B"/>
                <w:sz w:val="20"/>
                <w:szCs w:val="20"/>
              </w:rPr>
              <w:t xml:space="preserve">Log in</w:t>
            </w:r>
          </w:p>
          <w:p>
            <w:pPr>
              <w:spacing w:line="260"/>
            </w:pPr>
            <w:r>
              <w:rPr>
                <w:rFonts w:ascii="Arial" w:cs="Arial" w:eastAsia="Arial" w:hAnsi="Arial"/>
                <w:color w:val="15201A"/>
                <w:sz w:val="17"/>
                <w:szCs w:val="17"/>
              </w:rPr>
              <w:t xml:space="preserve">Username + password, show/hide, inline errors, links to sign-up and forgot password. Prototype accepts any credentials.</w:t>
            </w:r>
          </w:p>
        </w:tc>
      </w:tr>
      <w:tr>
        <w:trPr>
          <w:cantSplit/>
        </w:trPr>
        <w:tc>
          <w:tcPr>
            <w:tcW w:type="dxa" w:w="1700"/>
            <w:tcBorders>
              <w:top w:val="none" w:color="auto" w:sz="0"/>
              <w:left w:val="none" w:color="auto" w:sz="0"/>
              <w:bottom w:val="none" w:color="auto" w:sz="0"/>
              <w:right w:val="none" w:color="auto" w:sz="0"/>
            </w:tcBorders>
            <w:tcMar>
              <w:top w:type="dxa" w:w="80"/>
              <w:left w:type="dxa" w:w="0"/>
              <w:bottom w:type="dxa" w:w="80"/>
              <w:right w:type="dxa" w:w="60"/>
            </w:tcMar>
          </w:tcPr>
          <w:p>
            <w:pPr>
              <w:spacing w:after="0"/>
              <w:jc w:val="center"/>
            </w:pPr>
            <w:r>
              <w:drawing>
                <wp:inline distT="0" distB="0" distL="0" distR="0">
                  <wp:extent cx="1000125" cy="2152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000125" cy="2152650"/>
                          </a:xfrm>
                          <a:prstGeom prst="rect">
                            <a:avLst/>
                          </a:prstGeom>
                        </pic:spPr>
                      </pic:pic>
                    </a:graphicData>
                  </a:graphic>
                </wp:inline>
              </w:drawing>
            </w:r>
          </w:p>
        </w:tc>
        <w:tc>
          <w:tcPr>
            <w:tcW w:type="dxa" w:w="2813"/>
            <w:tcBorders>
              <w:top w:val="none" w:color="auto" w:sz="0"/>
              <w:left w:val="none" w:color="auto" w:sz="0"/>
              <w:bottom w:val="none" w:color="auto" w:sz="0"/>
              <w:right w:val="none" w:color="auto" w:sz="0"/>
            </w:tcBorders>
            <w:tcMar>
              <w:top w:type="dxa" w:w="120"/>
              <w:left w:type="dxa" w:w="80"/>
              <w:bottom w:type="dxa" w:w="80"/>
              <w:right w:type="dxa" w:w="200"/>
            </w:tcMar>
          </w:tcPr>
          <w:p>
            <w:pPr>
              <w:spacing w:after="60"/>
            </w:pPr>
            <w:r>
              <w:rPr>
                <w:rFonts w:ascii="Arial" w:cs="Arial" w:eastAsia="Arial" w:hAnsi="Arial"/>
                <w:b/>
                <w:bCs/>
                <w:color w:val="1E4D3B"/>
                <w:sz w:val="20"/>
                <w:szCs w:val="20"/>
              </w:rPr>
              <w:t xml:space="preserve">Create account</w:t>
            </w:r>
          </w:p>
          <w:p>
            <w:pPr>
              <w:spacing w:line="260"/>
            </w:pPr>
            <w:r>
              <w:rPr>
                <w:rFonts w:ascii="Arial" w:cs="Arial" w:eastAsia="Arial" w:hAnsi="Arial"/>
                <w:color w:val="15201A"/>
                <w:sz w:val="17"/>
                <w:szCs w:val="17"/>
              </w:rPr>
              <w:t xml:space="preserve">“Raise is just for you, the parent.” Field-level validation; 3-bar password strength meter.</w:t>
            </w:r>
          </w:p>
        </w:tc>
        <w:tc>
          <w:tcPr>
            <w:tcW w:type="dxa" w:w="1700"/>
            <w:tcBorders>
              <w:top w:val="none" w:color="auto" w:sz="0"/>
              <w:left w:val="none" w:color="auto" w:sz="0"/>
              <w:bottom w:val="none" w:color="auto" w:sz="0"/>
              <w:right w:val="none" w:color="auto" w:sz="0"/>
            </w:tcBorders>
            <w:tcMar>
              <w:top w:type="dxa" w:w="80"/>
              <w:left w:type="dxa" w:w="0"/>
              <w:bottom w:type="dxa" w:w="80"/>
              <w:right w:type="dxa" w:w="60"/>
            </w:tcMar>
          </w:tcPr>
          <w:p>
            <w:pPr>
              <w:spacing w:after="0"/>
              <w:jc w:val="center"/>
            </w:pPr>
            <w:r>
              <w:drawing>
                <wp:inline distT="0" distB="0" distL="0" distR="0">
                  <wp:extent cx="1000125" cy="2152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000125" cy="2152650"/>
                          </a:xfrm>
                          <a:prstGeom prst="rect">
                            <a:avLst/>
                          </a:prstGeom>
                        </pic:spPr>
                      </pic:pic>
                    </a:graphicData>
                  </a:graphic>
                </wp:inline>
              </w:drawing>
            </w:r>
          </w:p>
        </w:tc>
        <w:tc>
          <w:tcPr>
            <w:tcW w:type="dxa" w:w="2813"/>
            <w:tcBorders>
              <w:top w:val="none" w:color="auto" w:sz="0"/>
              <w:left w:val="none" w:color="auto" w:sz="0"/>
              <w:bottom w:val="none" w:color="auto" w:sz="0"/>
              <w:right w:val="none" w:color="auto" w:sz="0"/>
            </w:tcBorders>
            <w:tcMar>
              <w:top w:type="dxa" w:w="120"/>
              <w:left w:type="dxa" w:w="80"/>
              <w:bottom w:type="dxa" w:w="80"/>
              <w:right w:type="dxa" w:w="200"/>
            </w:tcMar>
          </w:tcPr>
          <w:p>
            <w:pPr>
              <w:spacing w:after="60"/>
            </w:pPr>
            <w:r>
              <w:rPr>
                <w:rFonts w:ascii="Arial" w:cs="Arial" w:eastAsia="Arial" w:hAnsi="Arial"/>
                <w:b/>
                <w:bCs/>
                <w:color w:val="1E4D3B"/>
                <w:sz w:val="20"/>
                <w:szCs w:val="20"/>
              </w:rPr>
              <w:t xml:space="preserve">Teen</w:t>
            </w:r>
          </w:p>
          <w:p>
            <w:pPr>
              <w:spacing w:line="260"/>
            </w:pPr>
            <w:r>
              <w:rPr>
                <w:rFonts w:ascii="Arial" w:cs="Arial" w:eastAsia="Arial" w:hAnsi="Arial"/>
                <w:color w:val="15201A"/>
                <w:sz w:val="17"/>
                <w:szCs w:val="17"/>
              </w:rPr>
              <w:t xml:space="preserve">Optional name personalises copy (“Maya”). Age band sets tone. Progress 1 of 3. Bands to change to 14–15 / 16–17 / 18–19.</w:t>
            </w:r>
          </w:p>
        </w:tc>
      </w:tr>
      <w:tr>
        <w:trPr>
          <w:cantSplit/>
        </w:trPr>
        <w:tc>
          <w:tcPr>
            <w:tcW w:type="dxa" w:w="1700"/>
            <w:tcBorders>
              <w:top w:val="none" w:color="auto" w:sz="0"/>
              <w:left w:val="none" w:color="auto" w:sz="0"/>
              <w:bottom w:val="none" w:color="auto" w:sz="0"/>
              <w:right w:val="none" w:color="auto" w:sz="0"/>
            </w:tcBorders>
            <w:tcMar>
              <w:top w:type="dxa" w:w="80"/>
              <w:left w:type="dxa" w:w="0"/>
              <w:bottom w:type="dxa" w:w="80"/>
              <w:right w:type="dxa" w:w="60"/>
            </w:tcMar>
          </w:tcPr>
          <w:p>
            <w:pPr>
              <w:spacing w:after="0"/>
              <w:jc w:val="center"/>
            </w:pPr>
            <w:r>
              <w:drawing>
                <wp:inline distT="0" distB="0" distL="0" distR="0">
                  <wp:extent cx="1000125" cy="2152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000125" cy="2152650"/>
                          </a:xfrm>
                          <a:prstGeom prst="rect">
                            <a:avLst/>
                          </a:prstGeom>
                        </pic:spPr>
                      </pic:pic>
                    </a:graphicData>
                  </a:graphic>
                </wp:inline>
              </w:drawing>
            </w:r>
          </w:p>
        </w:tc>
        <w:tc>
          <w:tcPr>
            <w:tcW w:type="dxa" w:w="2813"/>
            <w:tcBorders>
              <w:top w:val="none" w:color="auto" w:sz="0"/>
              <w:left w:val="none" w:color="auto" w:sz="0"/>
              <w:bottom w:val="none" w:color="auto" w:sz="0"/>
              <w:right w:val="none" w:color="auto" w:sz="0"/>
            </w:tcBorders>
            <w:tcMar>
              <w:top w:type="dxa" w:w="120"/>
              <w:left w:type="dxa" w:w="80"/>
              <w:bottom w:type="dxa" w:w="80"/>
              <w:right w:type="dxa" w:w="200"/>
            </w:tcMar>
          </w:tcPr>
          <w:p>
            <w:pPr>
              <w:spacing w:after="60"/>
            </w:pPr>
            <w:r>
              <w:rPr>
                <w:rFonts w:ascii="Arial" w:cs="Arial" w:eastAsia="Arial" w:hAnsi="Arial"/>
                <w:b/>
                <w:bCs/>
                <w:color w:val="1E4D3B"/>
                <w:sz w:val="20"/>
                <w:szCs w:val="20"/>
              </w:rPr>
              <w:t xml:space="preserve">Topic</w:t>
            </w:r>
          </w:p>
          <w:p>
            <w:pPr>
              <w:spacing w:line="260"/>
            </w:pPr>
            <w:r>
              <w:rPr>
                <w:rFonts w:ascii="Arial" w:cs="Arial" w:eastAsia="Arial" w:hAnsi="Arial"/>
                <w:color w:val="15201A"/>
                <w:sz w:val="17"/>
                <w:szCs w:val="17"/>
              </w:rPr>
              <w:t xml:space="preserve">Six tinted cards with an icon and one-line scope. “You can prepare the others later” lowers pressure to choose right.</w:t>
            </w:r>
          </w:p>
        </w:tc>
        <w:tc>
          <w:tcPr>
            <w:tcW w:type="dxa" w:w="1700"/>
            <w:tcBorders>
              <w:top w:val="none" w:color="auto" w:sz="0"/>
              <w:left w:val="none" w:color="auto" w:sz="0"/>
              <w:bottom w:val="none" w:color="auto" w:sz="0"/>
              <w:right w:val="none" w:color="auto" w:sz="0"/>
            </w:tcBorders>
            <w:tcMar>
              <w:top w:type="dxa" w:w="80"/>
              <w:left w:type="dxa" w:w="0"/>
              <w:bottom w:type="dxa" w:w="80"/>
              <w:right w:type="dxa" w:w="60"/>
            </w:tcMar>
          </w:tcPr>
          <w:p>
            <w:pPr>
              <w:spacing w:after="0"/>
              <w:jc w:val="center"/>
            </w:pPr>
            <w:r>
              <w:drawing>
                <wp:inline distT="0" distB="0" distL="0" distR="0">
                  <wp:extent cx="1000125" cy="2152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000125" cy="2152650"/>
                          </a:xfrm>
                          <a:prstGeom prst="rect">
                            <a:avLst/>
                          </a:prstGeom>
                        </pic:spPr>
                      </pic:pic>
                    </a:graphicData>
                  </a:graphic>
                </wp:inline>
              </w:drawing>
            </w:r>
          </w:p>
        </w:tc>
        <w:tc>
          <w:tcPr>
            <w:tcW w:type="dxa" w:w="2813"/>
            <w:tcBorders>
              <w:top w:val="none" w:color="auto" w:sz="0"/>
              <w:left w:val="none" w:color="auto" w:sz="0"/>
              <w:bottom w:val="none" w:color="auto" w:sz="0"/>
              <w:right w:val="none" w:color="auto" w:sz="0"/>
            </w:tcBorders>
            <w:tcMar>
              <w:top w:type="dxa" w:w="120"/>
              <w:left w:type="dxa" w:w="80"/>
              <w:bottom w:type="dxa" w:w="80"/>
              <w:right w:type="dxa" w:w="200"/>
            </w:tcMar>
          </w:tcPr>
          <w:p>
            <w:pPr>
              <w:spacing w:after="60"/>
            </w:pPr>
            <w:r>
              <w:rPr>
                <w:rFonts w:ascii="Arial" w:cs="Arial" w:eastAsia="Arial" w:hAnsi="Arial"/>
                <w:b/>
                <w:bCs/>
                <w:color w:val="1E4D3B"/>
                <w:sz w:val="20"/>
                <w:szCs w:val="20"/>
              </w:rPr>
              <w:t xml:space="preserve">Hardest part</w:t>
            </w:r>
          </w:p>
          <w:p>
            <w:pPr>
              <w:spacing w:line="260"/>
            </w:pPr>
            <w:r>
              <w:rPr>
                <w:rFonts w:ascii="Arial" w:cs="Arial" w:eastAsia="Arial" w:hAnsi="Arial"/>
                <w:color w:val="15201A"/>
                <w:sz w:val="17"/>
                <w:szCs w:val="17"/>
              </w:rPr>
              <w:t xml:space="preserve">“Be honest — every parent feels at least one of these.” Five options; this choice drives the Start tip.</w:t>
            </w:r>
          </w:p>
        </w:tc>
      </w:tr>
      <w:tr>
        <w:trPr>
          <w:cantSplit/>
        </w:trPr>
        <w:tc>
          <w:tcPr>
            <w:tcW w:type="dxa" w:w="1700"/>
            <w:tcBorders>
              <w:top w:val="none" w:color="auto" w:sz="0"/>
              <w:left w:val="none" w:color="auto" w:sz="0"/>
              <w:bottom w:val="none" w:color="auto" w:sz="0"/>
              <w:right w:val="none" w:color="auto" w:sz="0"/>
            </w:tcBorders>
            <w:tcMar>
              <w:top w:type="dxa" w:w="80"/>
              <w:left w:type="dxa" w:w="0"/>
              <w:bottom w:type="dxa" w:w="80"/>
              <w:right w:type="dxa" w:w="60"/>
            </w:tcMar>
          </w:tcPr>
          <w:p>
            <w:pPr>
              <w:spacing w:after="0"/>
              <w:jc w:val="center"/>
            </w:pPr>
            <w:r>
              <w:drawing>
                <wp:inline distT="0" distB="0" distL="0" distR="0">
                  <wp:extent cx="1000125" cy="2152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00125" cy="2152650"/>
                          </a:xfrm>
                          <a:prstGeom prst="rect">
                            <a:avLst/>
                          </a:prstGeom>
                        </pic:spPr>
                      </pic:pic>
                    </a:graphicData>
                  </a:graphic>
                </wp:inline>
              </w:drawing>
            </w:r>
          </w:p>
        </w:tc>
        <w:tc>
          <w:tcPr>
            <w:tcW w:type="dxa" w:w="2813"/>
            <w:tcBorders>
              <w:top w:val="none" w:color="auto" w:sz="0"/>
              <w:left w:val="none" w:color="auto" w:sz="0"/>
              <w:bottom w:val="none" w:color="auto" w:sz="0"/>
              <w:right w:val="none" w:color="auto" w:sz="0"/>
            </w:tcBorders>
            <w:tcMar>
              <w:top w:type="dxa" w:w="120"/>
              <w:left w:type="dxa" w:w="80"/>
              <w:bottom w:type="dxa" w:w="80"/>
              <w:right w:type="dxa" w:w="200"/>
            </w:tcMar>
          </w:tcPr>
          <w:p>
            <w:pPr>
              <w:spacing w:after="60"/>
            </w:pPr>
            <w:r>
              <w:rPr>
                <w:rFonts w:ascii="Arial" w:cs="Arial" w:eastAsia="Arial" w:hAnsi="Arial"/>
                <w:b/>
                <w:bCs/>
                <w:color w:val="1E4D3B"/>
                <w:sz w:val="20"/>
                <w:szCs w:val="20"/>
              </w:rPr>
              <w:t xml:space="preserve">Prep 1 · Understand</w:t>
            </w:r>
          </w:p>
          <w:p>
            <w:pPr>
              <w:spacing w:line="260"/>
            </w:pPr>
            <w:r>
              <w:rPr>
                <w:rFonts w:ascii="Arial" w:cs="Arial" w:eastAsia="Arial" w:hAnsi="Arial"/>
                <w:color w:val="15201A"/>
                <w:sz w:val="17"/>
                <w:szCs w:val="17"/>
              </w:rPr>
              <w:t xml:space="preserve">Goal reframed as trust (“the person Maya comes to”). Three numbered points. Step and minutes-left shown.</w:t>
            </w:r>
          </w:p>
        </w:tc>
        <w:tc>
          <w:tcPr>
            <w:tcW w:type="dxa" w:w="1700"/>
            <w:tcBorders>
              <w:top w:val="none" w:color="auto" w:sz="0"/>
              <w:left w:val="none" w:color="auto" w:sz="0"/>
              <w:bottom w:val="none" w:color="auto" w:sz="0"/>
              <w:right w:val="none" w:color="auto" w:sz="0"/>
            </w:tcBorders>
            <w:tcMar>
              <w:top w:type="dxa" w:w="80"/>
              <w:left w:type="dxa" w:w="0"/>
              <w:bottom w:type="dxa" w:w="80"/>
              <w:right w:type="dxa" w:w="60"/>
            </w:tcMar>
          </w:tcPr>
          <w:p>
            <w:pPr>
              <w:spacing w:after="0"/>
              <w:jc w:val="center"/>
            </w:pPr>
            <w:r>
              <w:drawing>
                <wp:inline distT="0" distB="0" distL="0" distR="0">
                  <wp:extent cx="1000125" cy="2152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00125" cy="2152650"/>
                          </a:xfrm>
                          <a:prstGeom prst="rect">
                            <a:avLst/>
                          </a:prstGeom>
                        </pic:spPr>
                      </pic:pic>
                    </a:graphicData>
                  </a:graphic>
                </wp:inline>
              </w:drawing>
            </w:r>
          </w:p>
        </w:tc>
        <w:tc>
          <w:tcPr>
            <w:tcW w:type="dxa" w:w="2813"/>
            <w:tcBorders>
              <w:top w:val="none" w:color="auto" w:sz="0"/>
              <w:left w:val="none" w:color="auto" w:sz="0"/>
              <w:bottom w:val="none" w:color="auto" w:sz="0"/>
              <w:right w:val="none" w:color="auto" w:sz="0"/>
            </w:tcBorders>
            <w:tcMar>
              <w:top w:type="dxa" w:w="120"/>
              <w:left w:type="dxa" w:w="80"/>
              <w:bottom w:type="dxa" w:w="80"/>
              <w:right w:type="dxa" w:w="200"/>
            </w:tcMar>
          </w:tcPr>
          <w:p>
            <w:pPr>
              <w:spacing w:after="60"/>
            </w:pPr>
            <w:r>
              <w:rPr>
                <w:rFonts w:ascii="Arial" w:cs="Arial" w:eastAsia="Arial" w:hAnsi="Arial"/>
                <w:b/>
                <w:bCs/>
                <w:color w:val="1E4D3B"/>
                <w:sz w:val="20"/>
                <w:szCs w:val="20"/>
              </w:rPr>
              <w:t xml:space="preserve">Prep 2 · Start</w:t>
            </w:r>
          </w:p>
          <w:p>
            <w:pPr>
              <w:spacing w:line="260"/>
            </w:pPr>
            <w:r>
              <w:rPr>
                <w:rFonts w:ascii="Arial" w:cs="Arial" w:eastAsia="Arial" w:hAnsi="Arial"/>
                <w:color w:val="15201A"/>
                <w:sz w:val="17"/>
                <w:szCs w:val="17"/>
              </w:rPr>
              <w:t xml:space="preserve">“Because you said…” tip ties back to the difficulty. Three openers as selectable speech cards.</w:t>
            </w:r>
          </w:p>
        </w:tc>
      </w:tr>
      <w:tr>
        <w:trPr>
          <w:cantSplit/>
        </w:trPr>
        <w:tc>
          <w:tcPr>
            <w:tcW w:type="dxa" w:w="1700"/>
            <w:tcBorders>
              <w:top w:val="none" w:color="auto" w:sz="0"/>
              <w:left w:val="none" w:color="auto" w:sz="0"/>
              <w:bottom w:val="none" w:color="auto" w:sz="0"/>
              <w:right w:val="none" w:color="auto" w:sz="0"/>
            </w:tcBorders>
            <w:tcMar>
              <w:top w:type="dxa" w:w="80"/>
              <w:left w:type="dxa" w:w="0"/>
              <w:bottom w:type="dxa" w:w="80"/>
              <w:right w:type="dxa" w:w="60"/>
            </w:tcMar>
          </w:tcPr>
          <w:p>
            <w:pPr>
              <w:spacing w:after="0"/>
              <w:jc w:val="center"/>
            </w:pPr>
            <w:r>
              <w:drawing>
                <wp:inline distT="0" distB="0" distL="0" distR="0">
                  <wp:extent cx="1000125" cy="2152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00125" cy="2152650"/>
                          </a:xfrm>
                          <a:prstGeom prst="rect">
                            <a:avLst/>
                          </a:prstGeom>
                        </pic:spPr>
                      </pic:pic>
                    </a:graphicData>
                  </a:graphic>
                </wp:inline>
              </w:drawing>
            </w:r>
          </w:p>
        </w:tc>
        <w:tc>
          <w:tcPr>
            <w:tcW w:type="dxa" w:w="2813"/>
            <w:tcBorders>
              <w:top w:val="none" w:color="auto" w:sz="0"/>
              <w:left w:val="none" w:color="auto" w:sz="0"/>
              <w:bottom w:val="none" w:color="auto" w:sz="0"/>
              <w:right w:val="none" w:color="auto" w:sz="0"/>
            </w:tcBorders>
            <w:tcMar>
              <w:top w:type="dxa" w:w="120"/>
              <w:left w:type="dxa" w:w="80"/>
              <w:bottom w:type="dxa" w:w="80"/>
              <w:right w:type="dxa" w:w="200"/>
            </w:tcMar>
          </w:tcPr>
          <w:p>
            <w:pPr>
              <w:spacing w:after="60"/>
            </w:pPr>
            <w:r>
              <w:rPr>
                <w:rFonts w:ascii="Arial" w:cs="Arial" w:eastAsia="Arial" w:hAnsi="Arial"/>
                <w:b/>
                <w:bCs/>
                <w:color w:val="1E4D3B"/>
                <w:sz w:val="20"/>
                <w:szCs w:val="20"/>
              </w:rPr>
              <w:t xml:space="preserve">Prep 3 · Anticipate</w:t>
            </w:r>
          </w:p>
          <w:p>
            <w:pPr>
              <w:spacing w:line="260"/>
            </w:pPr>
            <w:r>
              <w:rPr>
                <w:rFonts w:ascii="Arial" w:cs="Arial" w:eastAsia="Arial" w:hAnsi="Arial"/>
                <w:color w:val="15201A"/>
                <w:sz w:val="17"/>
                <w:szCs w:val="17"/>
              </w:rPr>
              <w:t xml:space="preserve">Teen lines in chat-style bubbles. “Think of your own answer first, then tap.” Builds the parent’s own words.</w:t>
            </w:r>
          </w:p>
        </w:tc>
        <w:tc>
          <w:tcPr>
            <w:tcW w:type="dxa" w:w="1700"/>
            <w:tcBorders>
              <w:top w:val="none" w:color="auto" w:sz="0"/>
              <w:left w:val="none" w:color="auto" w:sz="0"/>
              <w:bottom w:val="none" w:color="auto" w:sz="0"/>
              <w:right w:val="none" w:color="auto" w:sz="0"/>
            </w:tcBorders>
            <w:tcMar>
              <w:top w:type="dxa" w:w="80"/>
              <w:left w:type="dxa" w:w="0"/>
              <w:bottom w:type="dxa" w:w="80"/>
              <w:right w:type="dxa" w:w="60"/>
            </w:tcMar>
          </w:tcPr>
          <w:p>
            <w:pPr>
              <w:spacing w:after="0"/>
              <w:jc w:val="center"/>
            </w:pPr>
            <w:r>
              <w:drawing>
                <wp:inline distT="0" distB="0" distL="0" distR="0">
                  <wp:extent cx="1000125" cy="2152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00125" cy="2152650"/>
                          </a:xfrm>
                          <a:prstGeom prst="rect">
                            <a:avLst/>
                          </a:prstGeom>
                        </pic:spPr>
                      </pic:pic>
                    </a:graphicData>
                  </a:graphic>
                </wp:inline>
              </w:drawing>
            </w:r>
          </w:p>
        </w:tc>
        <w:tc>
          <w:tcPr>
            <w:tcW w:type="dxa" w:w="2813"/>
            <w:tcBorders>
              <w:top w:val="none" w:color="auto" w:sz="0"/>
              <w:left w:val="none" w:color="auto" w:sz="0"/>
              <w:bottom w:val="none" w:color="auto" w:sz="0"/>
              <w:right w:val="none" w:color="auto" w:sz="0"/>
            </w:tcBorders>
            <w:tcMar>
              <w:top w:type="dxa" w:w="120"/>
              <w:left w:type="dxa" w:w="80"/>
              <w:bottom w:type="dxa" w:w="80"/>
              <w:right w:type="dxa" w:w="200"/>
            </w:tcMar>
          </w:tcPr>
          <w:p>
            <w:pPr>
              <w:spacing w:after="60"/>
            </w:pPr>
            <w:r>
              <w:rPr>
                <w:rFonts w:ascii="Arial" w:cs="Arial" w:eastAsia="Arial" w:hAnsi="Arial"/>
                <w:b/>
                <w:bCs/>
                <w:color w:val="1E4D3B"/>
                <w:sz w:val="20"/>
                <w:szCs w:val="20"/>
              </w:rPr>
              <w:t xml:space="preserve">Prep 4 · Avoid</w:t>
            </w:r>
          </w:p>
          <w:p>
            <w:pPr>
              <w:spacing w:line="260"/>
            </w:pPr>
            <w:r>
              <w:rPr>
                <w:rFonts w:ascii="Arial" w:cs="Arial" w:eastAsia="Arial" w:hAnsi="Arial"/>
                <w:color w:val="15201A"/>
                <w:sz w:val="17"/>
                <w:szCs w:val="17"/>
              </w:rPr>
              <w:t xml:space="preserve">Three mistakes with a reason each; ends on a positive “Instead: listen more than you talk”.</w:t>
            </w:r>
          </w:p>
        </w:tc>
      </w:tr>
      <w:tr>
        <w:trPr>
          <w:cantSplit/>
        </w:trPr>
        <w:tc>
          <w:tcPr>
            <w:tcW w:type="dxa" w:w="1700"/>
            <w:tcBorders>
              <w:top w:val="none" w:color="auto" w:sz="0"/>
              <w:left w:val="none" w:color="auto" w:sz="0"/>
              <w:bottom w:val="none" w:color="auto" w:sz="0"/>
              <w:right w:val="none" w:color="auto" w:sz="0"/>
            </w:tcBorders>
            <w:tcMar>
              <w:top w:type="dxa" w:w="80"/>
              <w:left w:type="dxa" w:w="0"/>
              <w:bottom w:type="dxa" w:w="80"/>
              <w:right w:type="dxa" w:w="60"/>
            </w:tcMar>
          </w:tcPr>
          <w:p>
            <w:pPr>
              <w:spacing w:after="0"/>
              <w:jc w:val="center"/>
            </w:pPr>
            <w:r>
              <w:drawing>
                <wp:inline distT="0" distB="0" distL="0" distR="0">
                  <wp:extent cx="1000125" cy="2152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00125" cy="2152650"/>
                          </a:xfrm>
                          <a:prstGeom prst="rect">
                            <a:avLst/>
                          </a:prstGeom>
                        </pic:spPr>
                      </pic:pic>
                    </a:graphicData>
                  </a:graphic>
                </wp:inline>
              </w:drawing>
            </w:r>
          </w:p>
        </w:tc>
        <w:tc>
          <w:tcPr>
            <w:tcW w:type="dxa" w:w="2813"/>
            <w:tcBorders>
              <w:top w:val="none" w:color="auto" w:sz="0"/>
              <w:left w:val="none" w:color="auto" w:sz="0"/>
              <w:bottom w:val="none" w:color="auto" w:sz="0"/>
              <w:right w:val="none" w:color="auto" w:sz="0"/>
            </w:tcBorders>
            <w:tcMar>
              <w:top w:type="dxa" w:w="120"/>
              <w:left w:type="dxa" w:w="80"/>
              <w:bottom w:type="dxa" w:w="80"/>
              <w:right w:type="dxa" w:w="200"/>
            </w:tcMar>
          </w:tcPr>
          <w:p>
            <w:pPr>
              <w:spacing w:after="60"/>
            </w:pPr>
            <w:r>
              <w:rPr>
                <w:rFonts w:ascii="Arial" w:cs="Arial" w:eastAsia="Arial" w:hAnsi="Arial"/>
                <w:b/>
                <w:bCs/>
                <w:color w:val="1E4D3B"/>
                <w:sz w:val="20"/>
                <w:szCs w:val="20"/>
              </w:rPr>
              <w:t xml:space="preserve">Prep 5 · Ready</w:t>
            </w:r>
          </w:p>
          <w:p>
            <w:pPr>
              <w:spacing w:line="260"/>
            </w:pPr>
            <w:r>
              <w:rPr>
                <w:rFonts w:ascii="Arial" w:cs="Arial" w:eastAsia="Arial" w:hAnsi="Arial"/>
                <w:color w:val="15201A"/>
                <w:sz w:val="17"/>
                <w:szCs w:val="17"/>
              </w:rPr>
              <w:t xml:space="preserve">The plan in three labelled lines + a four-item checklist. Gold “I’m ready — go talk”.</w:t>
            </w:r>
          </w:p>
        </w:tc>
        <w:tc>
          <w:tcPr>
            <w:tcW w:type="dxa" w:w="1700"/>
            <w:tcBorders>
              <w:top w:val="none" w:color="auto" w:sz="0"/>
              <w:left w:val="none" w:color="auto" w:sz="0"/>
              <w:bottom w:val="none" w:color="auto" w:sz="0"/>
              <w:right w:val="none" w:color="auto" w:sz="0"/>
            </w:tcBorders>
            <w:tcMar>
              <w:top w:type="dxa" w:w="80"/>
              <w:left w:type="dxa" w:w="0"/>
              <w:bottom w:type="dxa" w:w="80"/>
              <w:right w:type="dxa" w:w="60"/>
            </w:tcMar>
          </w:tcPr>
          <w:p>
            <w:pPr>
              <w:spacing w:after="0"/>
              <w:jc w:val="center"/>
            </w:pPr>
            <w:r>
              <w:drawing>
                <wp:inline distT="0" distB="0" distL="0" distR="0">
                  <wp:extent cx="1000125" cy="2152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00125" cy="2152650"/>
                          </a:xfrm>
                          <a:prstGeom prst="rect">
                            <a:avLst/>
                          </a:prstGeom>
                        </pic:spPr>
                      </pic:pic>
                    </a:graphicData>
                  </a:graphic>
                </wp:inline>
              </w:drawing>
            </w:r>
          </w:p>
        </w:tc>
        <w:tc>
          <w:tcPr>
            <w:tcW w:type="dxa" w:w="2813"/>
            <w:tcBorders>
              <w:top w:val="none" w:color="auto" w:sz="0"/>
              <w:left w:val="none" w:color="auto" w:sz="0"/>
              <w:bottom w:val="none" w:color="auto" w:sz="0"/>
              <w:right w:val="none" w:color="auto" w:sz="0"/>
            </w:tcBorders>
            <w:tcMar>
              <w:top w:type="dxa" w:w="120"/>
              <w:left w:type="dxa" w:w="80"/>
              <w:bottom w:type="dxa" w:w="80"/>
              <w:right w:type="dxa" w:w="200"/>
            </w:tcMar>
          </w:tcPr>
          <w:p>
            <w:pPr>
              <w:spacing w:after="60"/>
            </w:pPr>
            <w:r>
              <w:rPr>
                <w:rFonts w:ascii="Arial" w:cs="Arial" w:eastAsia="Arial" w:hAnsi="Arial"/>
                <w:b/>
                <w:bCs/>
                <w:color w:val="1E4D3B"/>
                <w:sz w:val="20"/>
                <w:szCs w:val="20"/>
              </w:rPr>
              <w:t xml:space="preserve">Go talk</w:t>
            </w:r>
          </w:p>
          <w:p>
            <w:pPr>
              <w:spacing w:line="260"/>
            </w:pPr>
            <w:r>
              <w:rPr>
                <w:rFonts w:ascii="Arial" w:cs="Arial" w:eastAsia="Arial" w:hAnsi="Arial"/>
                <w:color w:val="15201A"/>
                <w:sz w:val="17"/>
                <w:szCs w:val="17"/>
              </w:rPr>
              <w:t xml:space="preserve">Dark, focused screen. Pocket card: open with, remember, avoid, if stuck. States Raise doesn’t listen, record or contact the teen.</w:t>
            </w:r>
          </w:p>
        </w:tc>
      </w:tr>
      <w:tr>
        <w:trPr>
          <w:cantSplit/>
        </w:trPr>
        <w:tc>
          <w:tcPr>
            <w:tcW w:type="dxa" w:w="1700"/>
            <w:tcBorders>
              <w:top w:val="none" w:color="auto" w:sz="0"/>
              <w:left w:val="none" w:color="auto" w:sz="0"/>
              <w:bottom w:val="none" w:color="auto" w:sz="0"/>
              <w:right w:val="none" w:color="auto" w:sz="0"/>
            </w:tcBorders>
            <w:tcMar>
              <w:top w:type="dxa" w:w="80"/>
              <w:left w:type="dxa" w:w="0"/>
              <w:bottom w:type="dxa" w:w="80"/>
              <w:right w:type="dxa" w:w="60"/>
            </w:tcMar>
          </w:tcPr>
          <w:p>
            <w:pPr>
              <w:spacing w:after="0"/>
              <w:jc w:val="center"/>
            </w:pPr>
            <w:r>
              <w:drawing>
                <wp:inline distT="0" distB="0" distL="0" distR="0">
                  <wp:extent cx="1000125" cy="2152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00125" cy="2152650"/>
                          </a:xfrm>
                          <a:prstGeom prst="rect">
                            <a:avLst/>
                          </a:prstGeom>
                        </pic:spPr>
                      </pic:pic>
                    </a:graphicData>
                  </a:graphic>
                </wp:inline>
              </w:drawing>
            </w:r>
          </w:p>
        </w:tc>
        <w:tc>
          <w:tcPr>
            <w:tcW w:type="dxa" w:w="2813"/>
            <w:tcBorders>
              <w:top w:val="none" w:color="auto" w:sz="0"/>
              <w:left w:val="none" w:color="auto" w:sz="0"/>
              <w:bottom w:val="none" w:color="auto" w:sz="0"/>
              <w:right w:val="none" w:color="auto" w:sz="0"/>
            </w:tcBorders>
            <w:tcMar>
              <w:top w:type="dxa" w:w="120"/>
              <w:left w:type="dxa" w:w="80"/>
              <w:bottom w:type="dxa" w:w="80"/>
              <w:right w:type="dxa" w:w="200"/>
            </w:tcMar>
          </w:tcPr>
          <w:p>
            <w:pPr>
              <w:spacing w:after="60"/>
            </w:pPr>
            <w:r>
              <w:rPr>
                <w:rFonts w:ascii="Arial" w:cs="Arial" w:eastAsia="Arial" w:hAnsi="Arial"/>
                <w:b/>
                <w:bCs/>
                <w:color w:val="1E4D3B"/>
                <w:sz w:val="20"/>
                <w:szCs w:val="20"/>
              </w:rPr>
              <w:t xml:space="preserve">Reflect</w:t>
            </w:r>
          </w:p>
          <w:p>
            <w:pPr>
              <w:spacing w:line="260"/>
            </w:pPr>
            <w:r>
              <w:rPr>
                <w:rFonts w:ascii="Arial" w:cs="Arial" w:eastAsia="Arial" w:hAnsi="Arial"/>
                <w:color w:val="15201A"/>
                <w:sz w:val="17"/>
                <w:szCs w:val="17"/>
              </w:rPr>
              <w:t xml:space="preserve">Three outcomes, eight chips, optional note. “Two minutes now makes the next talk easier.”</w:t>
            </w:r>
          </w:p>
        </w:tc>
        <w:tc>
          <w:tcPr>
            <w:tcW w:type="dxa" w:w="1700"/>
            <w:tcBorders>
              <w:top w:val="none" w:color="auto" w:sz="0"/>
              <w:left w:val="none" w:color="auto" w:sz="0"/>
              <w:bottom w:val="none" w:color="auto" w:sz="0"/>
              <w:right w:val="none" w:color="auto" w:sz="0"/>
            </w:tcBorders>
            <w:tcMar>
              <w:top w:type="dxa" w:w="80"/>
              <w:left w:type="dxa" w:w="0"/>
              <w:bottom w:type="dxa" w:w="80"/>
              <w:right w:type="dxa" w:w="60"/>
            </w:tcMar>
          </w:tcPr>
          <w:p>
            <w:pPr>
              <w:spacing w:after="0"/>
              <w:jc w:val="center"/>
            </w:pPr>
            <w:r>
              <w:drawing>
                <wp:inline distT="0" distB="0" distL="0" distR="0">
                  <wp:extent cx="1000125" cy="2152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000125" cy="2152650"/>
                          </a:xfrm>
                          <a:prstGeom prst="rect">
                            <a:avLst/>
                          </a:prstGeom>
                        </pic:spPr>
                      </pic:pic>
                    </a:graphicData>
                  </a:graphic>
                </wp:inline>
              </w:drawing>
            </w:r>
          </w:p>
        </w:tc>
        <w:tc>
          <w:tcPr>
            <w:tcW w:type="dxa" w:w="2813"/>
            <w:tcBorders>
              <w:top w:val="none" w:color="auto" w:sz="0"/>
              <w:left w:val="none" w:color="auto" w:sz="0"/>
              <w:bottom w:val="none" w:color="auto" w:sz="0"/>
              <w:right w:val="none" w:color="auto" w:sz="0"/>
            </w:tcBorders>
            <w:tcMar>
              <w:top w:type="dxa" w:w="120"/>
              <w:left w:type="dxa" w:w="80"/>
              <w:bottom w:type="dxa" w:w="80"/>
              <w:right w:type="dxa" w:w="200"/>
            </w:tcMar>
          </w:tcPr>
          <w:p>
            <w:pPr>
              <w:spacing w:after="60"/>
            </w:pPr>
            <w:r>
              <w:rPr>
                <w:rFonts w:ascii="Arial" w:cs="Arial" w:eastAsia="Arial" w:hAnsi="Arial"/>
                <w:b/>
                <w:bCs/>
                <w:color w:val="1E4D3B"/>
                <w:sz w:val="20"/>
                <w:szCs w:val="20"/>
              </w:rPr>
              <w:t xml:space="preserve">Insight</w:t>
            </w:r>
          </w:p>
          <w:p>
            <w:pPr>
              <w:spacing w:line="260"/>
            </w:pPr>
            <w:r>
              <w:rPr>
                <w:rFonts w:ascii="Arial" w:cs="Arial" w:eastAsia="Arial" w:hAnsi="Arial"/>
                <w:color w:val="15201A"/>
                <w:sz w:val="17"/>
                <w:szCs w:val="17"/>
              </w:rPr>
              <w:t xml:space="preserve">Outcome-specific headline, up to three chip insights, the parent’s note, and the next talk with timing.</w:t>
            </w:r>
          </w:p>
        </w:tc>
      </w:tr>
      <w:tr>
        <w:trPr>
          <w:cantSplit/>
        </w:trPr>
        <w:tc>
          <w:tcPr>
            <w:tcW w:type="dxa" w:w="1700"/>
            <w:tcBorders>
              <w:top w:val="none" w:color="auto" w:sz="0"/>
              <w:left w:val="none" w:color="auto" w:sz="0"/>
              <w:bottom w:val="none" w:color="auto" w:sz="0"/>
              <w:right w:val="none" w:color="auto" w:sz="0"/>
            </w:tcBorders>
            <w:tcMar>
              <w:top w:type="dxa" w:w="80"/>
              <w:left w:type="dxa" w:w="0"/>
              <w:bottom w:type="dxa" w:w="80"/>
              <w:right w:type="dxa" w:w="60"/>
            </w:tcMar>
          </w:tcPr>
          <w:p>
            <w:pPr>
              <w:spacing w:after="0"/>
              <w:jc w:val="center"/>
            </w:pPr>
            <w:r>
              <w:drawing>
                <wp:inline distT="0" distB="0" distL="0" distR="0">
                  <wp:extent cx="1000125" cy="2152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000125" cy="2152650"/>
                          </a:xfrm>
                          <a:prstGeom prst="rect">
                            <a:avLst/>
                          </a:prstGeom>
                        </pic:spPr>
                      </pic:pic>
                    </a:graphicData>
                  </a:graphic>
                </wp:inline>
              </w:drawing>
            </w:r>
          </w:p>
        </w:tc>
        <w:tc>
          <w:tcPr>
            <w:tcW w:type="dxa" w:w="2813"/>
            <w:tcBorders>
              <w:top w:val="none" w:color="auto" w:sz="0"/>
              <w:left w:val="none" w:color="auto" w:sz="0"/>
              <w:bottom w:val="none" w:color="auto" w:sz="0"/>
              <w:right w:val="none" w:color="auto" w:sz="0"/>
            </w:tcBorders>
            <w:tcMar>
              <w:top w:type="dxa" w:w="120"/>
              <w:left w:type="dxa" w:w="80"/>
              <w:bottom w:type="dxa" w:w="80"/>
              <w:right w:type="dxa" w:w="200"/>
            </w:tcMar>
          </w:tcPr>
          <w:p>
            <w:pPr>
              <w:spacing w:after="60"/>
            </w:pPr>
            <w:r>
              <w:rPr>
                <w:rFonts w:ascii="Arial" w:cs="Arial" w:eastAsia="Arial" w:hAnsi="Arial"/>
                <w:b/>
                <w:bCs/>
                <w:color w:val="1E4D3B"/>
                <w:sz w:val="20"/>
                <w:szCs w:val="20"/>
              </w:rPr>
              <w:t xml:space="preserve">Home</w:t>
            </w:r>
          </w:p>
          <w:p>
            <w:pPr>
              <w:spacing w:line="260"/>
            </w:pPr>
            <w:r>
              <w:rPr>
                <w:rFonts w:ascii="Arial" w:cs="Arial" w:eastAsia="Arial" w:hAnsi="Arial"/>
                <w:color w:val="15201A"/>
                <w:sz w:val="17"/>
                <w:szCs w:val="17"/>
              </w:rPr>
              <w:t xml:space="preserve">Cycle tracker (Prepare · Talk · Reflect · Next) shows where the parent is. Counts: talks had, topics covered of 6.</w:t>
            </w:r>
          </w:p>
        </w:tc>
        <w:tc>
          <w:tcPr>
            <w:tcW w:type="dxa" w:w="1700"/>
            <w:tcBorders>
              <w:top w:val="none" w:color="auto" w:sz="0"/>
              <w:left w:val="none" w:color="auto" w:sz="0"/>
              <w:bottom w:val="none" w:color="auto" w:sz="0"/>
              <w:right w:val="none" w:color="auto" w:sz="0"/>
            </w:tcBorders>
            <w:tcMar>
              <w:top w:type="dxa" w:w="80"/>
              <w:left w:type="dxa" w:w="0"/>
              <w:bottom w:type="dxa" w:w="80"/>
              <w:right w:type="dxa" w:w="60"/>
            </w:tcMar>
          </w:tcPr>
          <w:p>
            <w:pPr>
              <w:spacing w:after="0"/>
              <w:jc w:val="center"/>
            </w:pPr>
            <w:r>
              <w:drawing>
                <wp:inline distT="0" distB="0" distL="0" distR="0">
                  <wp:extent cx="1000125" cy="2152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000125" cy="2152650"/>
                          </a:xfrm>
                          <a:prstGeom prst="rect">
                            <a:avLst/>
                          </a:prstGeom>
                        </pic:spPr>
                      </pic:pic>
                    </a:graphicData>
                  </a:graphic>
                </wp:inline>
              </w:drawing>
            </w:r>
          </w:p>
        </w:tc>
        <w:tc>
          <w:tcPr>
            <w:tcW w:type="dxa" w:w="2813"/>
            <w:tcBorders>
              <w:top w:val="none" w:color="auto" w:sz="0"/>
              <w:left w:val="none" w:color="auto" w:sz="0"/>
              <w:bottom w:val="none" w:color="auto" w:sz="0"/>
              <w:right w:val="none" w:color="auto" w:sz="0"/>
            </w:tcBorders>
            <w:tcMar>
              <w:top w:type="dxa" w:w="120"/>
              <w:left w:type="dxa" w:w="80"/>
              <w:bottom w:type="dxa" w:w="80"/>
              <w:right w:type="dxa" w:w="200"/>
            </w:tcMar>
          </w:tcPr>
          <w:p>
            <w:pPr>
              <w:spacing w:after="60"/>
            </w:pPr>
            <w:r>
              <w:rPr>
                <w:rFonts w:ascii="Arial" w:cs="Arial" w:eastAsia="Arial" w:hAnsi="Arial"/>
                <w:b/>
                <w:bCs/>
                <w:color w:val="1E4D3B"/>
                <w:sz w:val="20"/>
                <w:szCs w:val="20"/>
              </w:rPr>
              <w:t xml:space="preserve">Journal</w:t>
            </w:r>
          </w:p>
          <w:p>
            <w:pPr>
              <w:spacing w:line="260"/>
            </w:pPr>
            <w:r>
              <w:rPr>
                <w:rFonts w:ascii="Arial" w:cs="Arial" w:eastAsia="Arial" w:hAnsi="Arial"/>
                <w:color w:val="15201A"/>
                <w:sz w:val="17"/>
                <w:szCs w:val="17"/>
              </w:rPr>
              <w:t xml:space="preserve">Private history in the parent’s words: topic, date, outcome tag, quote, chips.</w:t>
            </w:r>
          </w:p>
        </w:tc>
      </w:tr>
    </w:tbl>
    <w:p>
      <w:pPr>
        <w:pStyle w:val="Heading1"/>
        <w:pageBreakBefore/>
      </w:pPr>
      <w:r>
        <w:t xml:space="preserve">Part E — Notes on Key Design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6620"/>
      </w:tblGrid>
      <w:tr>
        <w:trPr>
          <w:cantSplit/>
          <w:tblHeader/>
        </w:trPr>
        <w:tc>
          <w:tcPr>
            <w:tcW w:type="dxa" w:w="2406"/>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Decision</w:t>
            </w:r>
          </w:p>
        </w:tc>
        <w:tc>
          <w:tcPr>
            <w:tcW w:type="dxa" w:w="6620"/>
            <w:tcBorders>
              <w:top w:val="single" w:color="D5DDD6" w:sz="4"/>
              <w:left w:val="single" w:color="D5DDD6" w:sz="4"/>
              <w:bottom w:val="single" w:color="D5DDD6" w:sz="4"/>
              <w:right w:val="single" w:color="D5DDD6" w:sz="4"/>
            </w:tcBorders>
            <w:shd w:fill="1E4D3B" w:color="auto" w:val="clear"/>
            <w:tcMar>
              <w:top w:type="dxa" w:w="70"/>
              <w:left w:type="dxa" w:w="100"/>
              <w:bottom w:type="dxa" w:w="70"/>
              <w:right w:type="dxa" w:w="100"/>
            </w:tcMar>
          </w:tcPr>
          <w:p>
            <w:pPr>
              <w:spacing w:after="40" w:line="260"/>
            </w:pPr>
            <w:r>
              <w:rPr>
                <w:rFonts w:ascii="Arial" w:cs="Arial" w:eastAsia="Arial" w:hAnsi="Arial"/>
                <w:b/>
                <w:bCs/>
                <w:color w:val="FFFFFF"/>
                <w:sz w:val="17"/>
                <w:szCs w:val="17"/>
              </w:rPr>
              <w:t xml:space="preserve">Why</w:t>
            </w:r>
          </w:p>
        </w:tc>
      </w:tr>
      <w:tr>
        <w:trPr>
          <w:cantSplit/>
        </w:trPr>
        <w:tc>
          <w:tcPr>
            <w:tcW w:type="dxa" w:w="240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Parent-only, stated on the cover</w:t>
            </w:r>
          </w:p>
        </w:tc>
        <w:tc>
          <w:tcPr>
            <w:tcW w:type="dxa" w:w="66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Teens wouldn’t use an app their parent installed (insight I12). Saying “your teen never sees this app” up front builds the parent’s trust and rules out surveillance as a use case.</w:t>
            </w:r>
          </w:p>
        </w:tc>
      </w:tr>
      <w:tr>
        <w:trPr>
          <w:cantSplit/>
        </w:trPr>
        <w:tc>
          <w:tcPr>
            <w:tcW w:type="dxa" w:w="240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Five minutes, five steps, with minutes left</w:t>
            </w:r>
          </w:p>
        </w:tc>
        <w:tc>
          <w:tcPr>
            <w:tcW w:type="dxa" w:w="66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Parents said “ten minutes on the metro, not a course”. A visible countdown makes the commitment feel small and finishable.</w:t>
            </w:r>
          </w:p>
        </w:tc>
      </w:tr>
      <w:tr>
        <w:trPr>
          <w:cantSplit/>
        </w:trPr>
        <w:tc>
          <w:tcPr>
            <w:tcW w:type="dxa" w:w="240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Ask for the hardest part before the content</w:t>
            </w:r>
          </w:p>
        </w:tc>
        <w:tc>
          <w:tcPr>
            <w:tcW w:type="dxa" w:w="66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The fear, not the topic, is the real barrier. The Start tip is chosen by that answer and says “Because you said…” so the parent sees it was listened to.</w:t>
            </w:r>
          </w:p>
        </w:tc>
      </w:tr>
      <w:tr>
        <w:trPr>
          <w:cantSplit/>
        </w:trPr>
        <w:tc>
          <w:tcPr>
            <w:tcW w:type="dxa" w:w="240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Three openers, choose one — not one script</w:t>
            </w:r>
          </w:p>
        </w:tc>
        <w:tc>
          <w:tcPr>
            <w:tcW w:type="dxa" w:w="66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Choice keeps the parent’s voice. Openers are “sideways” (a show, a story, a friend) because teens read head-on talks as trouble (I2).</w:t>
            </w:r>
          </w:p>
        </w:tc>
      </w:tr>
      <w:tr>
        <w:trPr>
          <w:cantSplit/>
        </w:trPr>
        <w:tc>
          <w:tcPr>
            <w:tcW w:type="dxa" w:w="240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Think first, then tap to reveal</w:t>
            </w:r>
          </w:p>
        </w:tc>
        <w:tc>
          <w:tcPr>
            <w:tcW w:type="dxa" w:w="66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Hiding the calm response makes the parent rehearse their own answer, which is what they’ll actually say in the room (I3, I5).</w:t>
            </w:r>
          </w:p>
        </w:tc>
      </w:tr>
      <w:tr>
        <w:trPr>
          <w:cantSplit/>
        </w:trPr>
        <w:tc>
          <w:tcPr>
            <w:tcW w:type="dxa" w:w="240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“I don’t know — let’s find out” is taught as a good answer</w:t>
            </w:r>
          </w:p>
        </w:tc>
        <w:tc>
          <w:tcPr>
            <w:tcW w:type="dxa" w:w="66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Removes the biggest fear (unanswerable questions) and models honesty; teens told us it feels “real”.</w:t>
            </w:r>
          </w:p>
        </w:tc>
      </w:tr>
      <w:tr>
        <w:trPr>
          <w:cantSplit/>
        </w:trPr>
        <w:tc>
          <w:tcPr>
            <w:tcW w:type="dxa" w:w="240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Pocket card, not a teleprompter</w:t>
            </w:r>
          </w:p>
        </w:tc>
        <w:tc>
          <w:tcPr>
            <w:tcW w:type="dxa" w:w="66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Four short cues fit a glance. A full script would make the parent sound robotic and risk the teen feeling managed.</w:t>
            </w:r>
          </w:p>
        </w:tc>
      </w:tr>
      <w:tr>
        <w:trPr>
          <w:cantSplit/>
        </w:trPr>
        <w:tc>
          <w:tcPr>
            <w:tcW w:type="dxa" w:w="240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The talk happens off-app</w:t>
            </w:r>
          </w:p>
        </w:tc>
        <w:tc>
          <w:tcPr>
            <w:tcW w:type="dxa" w:w="66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No recording, no listening, no in-app chat with the teen. The app’s best session ends with the parent closing it.</w:t>
            </w:r>
          </w:p>
        </w:tc>
      </w:tr>
      <w:tr>
        <w:trPr>
          <w:cantSplit/>
        </w:trPr>
        <w:tc>
          <w:tcPr>
            <w:tcW w:type="dxa" w:w="240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Three outcomes, not a star rating</w:t>
            </w:r>
          </w:p>
        </w:tc>
        <w:tc>
          <w:tcPr>
            <w:tcW w:type="dxa" w:w="66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“Went well / Stalled / Something unexpected” are things parents can judge honestly; “Stalled” is framed as progress, so honesty isn’t punished.</w:t>
            </w:r>
          </w:p>
        </w:tc>
      </w:tr>
      <w:tr>
        <w:trPr>
          <w:cantSplit/>
        </w:trPr>
        <w:tc>
          <w:tcPr>
            <w:tcW w:type="dxa" w:w="240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Chips before free text</w:t>
            </w:r>
          </w:p>
        </w:tc>
        <w:tc>
          <w:tcPr>
            <w:tcW w:type="dxa" w:w="66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Two-minute reflections need tappable options; chips also map to specific insights and the next-talk rule. The note stays optional.</w:t>
            </w:r>
          </w:p>
        </w:tc>
      </w:tr>
      <w:tr>
        <w:trPr>
          <w:cantSplit/>
        </w:trPr>
        <w:tc>
          <w:tcPr>
            <w:tcW w:type="dxa" w:w="240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Outcome sets the cadence</w:t>
            </w:r>
          </w:p>
        </w:tc>
        <w:tc>
          <w:tcPr>
            <w:tcW w:type="dxa" w:w="66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A good talk waits a week, a stall comes back in 3–4 days, a surprise within 48 hours — matching how momentum and worry actually work.</w:t>
            </w:r>
          </w:p>
        </w:tc>
      </w:tr>
      <w:tr>
        <w:trPr>
          <w:cantSplit/>
        </w:trPr>
        <w:tc>
          <w:tcPr>
            <w:tcW w:type="dxa" w:w="240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No streaks, points or badges</w:t>
            </w:r>
          </w:p>
        </w:tc>
        <w:tc>
          <w:tcPr>
            <w:tcW w:type="dxa" w:w="66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Rewards would invite fake reflections and turn a relationship into a score — and would break the Completed Conversation metric.</w:t>
            </w:r>
          </w:p>
        </w:tc>
      </w:tr>
      <w:tr>
        <w:trPr>
          <w:cantSplit/>
        </w:trPr>
        <w:tc>
          <w:tcPr>
            <w:tcW w:type="dxa" w:w="240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Calm green, gold only for action</w:t>
            </w:r>
          </w:p>
        </w:tc>
        <w:tc>
          <w:tcPr>
            <w:tcW w:type="dxa" w:w="66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Deep green (#1E4D3B) reads as steady and private; gold (#F2B441) marks the one next action per screen. Topic tints help scanning without alarm colours.</w:t>
            </w:r>
          </w:p>
        </w:tc>
      </w:tr>
      <w:tr>
        <w:trPr>
          <w:cantSplit/>
        </w:trPr>
        <w:tc>
          <w:tcPr>
            <w:tcW w:type="dxa" w:w="2406"/>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bCs/>
                <w:color w:val="15201A"/>
                <w:sz w:val="17"/>
                <w:szCs w:val="17"/>
              </w:rPr>
              <w:t xml:space="preserve">Optional teen name</w:t>
            </w:r>
          </w:p>
        </w:tc>
        <w:tc>
          <w:tcPr>
            <w:tcW w:type="dxa" w:w="6620"/>
            <w:tcBorders>
              <w:top w:val="single" w:color="D5DDD6" w:sz="4"/>
              <w:left w:val="single" w:color="D5DDD6" w:sz="4"/>
              <w:bottom w:val="single" w:color="D5DDD6" w:sz="4"/>
              <w:right w:val="single" w:color="D5DDD6" w:sz="4"/>
            </w:tcBorders>
            <w:tcMar>
              <w:top w:type="dxa" w:w="70"/>
              <w:left w:type="dxa" w:w="100"/>
              <w:bottom w:type="dxa" w:w="70"/>
              <w:right w:type="dxa" w:w="100"/>
            </w:tcMar>
          </w:tcPr>
          <w:p>
            <w:pPr>
              <w:spacing w:after="40" w:line="260"/>
            </w:pPr>
            <w:r>
              <w:rPr>
                <w:rFonts w:ascii="Arial" w:cs="Arial" w:eastAsia="Arial" w:hAnsi="Arial"/>
                <w:b w:val="false"/>
                <w:bCs w:val="false"/>
                <w:color w:val="15201A"/>
                <w:sz w:val="17"/>
                <w:szCs w:val="17"/>
              </w:rPr>
              <w:t xml:space="preserve">Personalised copy (“Maya”) helps, but the app must work without storing anything identifying about a minor.</w:t>
            </w:r>
          </w:p>
        </w:tc>
      </w:tr>
    </w:tbl>
    <w:p>
      <w:pPr>
        <w:pStyle w:val="Heading2"/>
        <w:keepNext/>
      </w:pPr>
      <w:r>
        <w:t xml:space="preserve">Open design questions</w:t>
      </w:r>
    </w:p>
    <w:p>
      <w:pPr>
        <w:pStyle w:val="ListParagraph"/>
        <w:numPr>
          <w:ilvl w:val="0"/>
          <w:numId w:val="2"/>
        </w:numPr>
        <w:spacing w:after="60" w:line="290"/>
      </w:pPr>
      <w:r>
        <w:rPr>
          <w:rFonts w:ascii="Arial" w:cs="Arial" w:eastAsia="Arial" w:hAnsi="Arial"/>
          <w:color w:val="15201A"/>
          <w:sz w:val="21"/>
          <w:szCs w:val="21"/>
        </w:rPr>
        <w:t xml:space="preserve">Should the escalation card interrupt before the insight, or appear as the top item on it? Proposed: interrupt for Level 3, top item for Level 2.</w:t>
      </w:r>
    </w:p>
    <w:p>
      <w:pPr>
        <w:pStyle w:val="ListParagraph"/>
        <w:numPr>
          <w:ilvl w:val="0"/>
          <w:numId w:val="2"/>
        </w:numPr>
        <w:spacing w:after="60" w:line="290"/>
      </w:pPr>
      <w:r>
        <w:rPr>
          <w:rFonts w:ascii="Arial" w:cs="Arial" w:eastAsia="Arial" w:hAnsi="Arial"/>
          <w:color w:val="15201A"/>
          <w:sz w:val="21"/>
          <w:szCs w:val="21"/>
        </w:rPr>
        <w:t xml:space="preserve">Where does Hindi switching live — at sign-up, or per guide? </w:t>
      </w:r>
      <w:r>
        <w:rPr>
          <w:rFonts w:ascii="Arial" w:cs="Arial" w:eastAsia="Arial" w:hAnsi="Arial"/>
          <w:b/>
          <w:bCs/>
          <w:color w:val="8A3517"/>
          <w:sz w:val="21"/>
          <w:szCs w:val="21"/>
        </w:rPr>
        <w:t xml:space="preserve">[NEEDS INPUT: test with pilot parents]</w:t>
      </w:r>
    </w:p>
    <w:p>
      <w:pPr>
        <w:pStyle w:val="ListParagraph"/>
        <w:numPr>
          <w:ilvl w:val="0"/>
          <w:numId w:val="2"/>
        </w:numPr>
        <w:spacing w:after="60" w:line="290"/>
      </w:pPr>
      <w:r>
        <w:rPr>
          <w:rFonts w:ascii="Arial" w:cs="Arial" w:eastAsia="Arial" w:hAnsi="Arial"/>
          <w:color w:val="15201A"/>
          <w:sz w:val="21"/>
          <w:szCs w:val="21"/>
        </w:rPr>
        <w:t xml:space="preserve">Should “Topics” in the bottom nav allow starting a second teen? Out of V1 scope; flagged.</w:t>
      </w:r>
    </w:p>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E5B5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E5B53"/>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E5B5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E5B53"/>
        <w:sz w:val="16"/>
        <w:szCs w:val="16"/>
      </w:rPr>
      <w:t xml:space="preserve">Raise · PRD, flows &amp; wireframes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E5B53"/>
        <w:sz w:val="16"/>
        <w:szCs w:val="16"/>
      </w:rPr>
      <w:t xml:space="preserve">Raise · PRD, flows &amp; wireframes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E5B53"/>
        <w:sz w:val="16"/>
        <w:szCs w:val="16"/>
      </w:rPr>
      <w:t xml:space="preserve">Raise · PRD, flows &amp; wireframes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20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E4D3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E4D3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520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9acc8d4ac5dc7aeafa7621e326c6e0d8e6084f46.png"/><Relationship Id="rId14" Type="http://schemas.openxmlformats.org/officeDocument/2006/relationships/image" Target="media/0ae65566a39fb7f60f99b2dd2b8c247516ca2aad.png"/><Relationship Id="rId15" Type="http://schemas.openxmlformats.org/officeDocument/2006/relationships/image" Target="media/f9b72ca8b9046c2b416c626c974d173ef75cbb1c.png"/><Relationship Id="rId16" Type="http://schemas.openxmlformats.org/officeDocument/2006/relationships/image" Target="media/9141b96563570e2d48b6aad373f27beda303877d.png"/><Relationship Id="rId17" Type="http://schemas.openxmlformats.org/officeDocument/2006/relationships/image" Target="media/3e7760b2b0c878c8a56427d9947a1fdf5debec5d.png"/><Relationship Id="rId18" Type="http://schemas.openxmlformats.org/officeDocument/2006/relationships/image" Target="media/6072968f9bdd5f4bde8a48933e486b8320ba21eb.png"/><Relationship Id="rId19" Type="http://schemas.openxmlformats.org/officeDocument/2006/relationships/image" Target="media/bf8dbc00f74b2bedbc02269e6b16184eceb33fdc.png"/><Relationship Id="rId20" Type="http://schemas.openxmlformats.org/officeDocument/2006/relationships/image" Target="media/3295aa34c760d1d2d60c9922fc3fa920b46d5fe1.png"/><Relationship Id="rId21" Type="http://schemas.openxmlformats.org/officeDocument/2006/relationships/image" Target="media/e8ba144fbd6789fbf73291b2f89233245f5e28ab.png"/><Relationship Id="rId22" Type="http://schemas.openxmlformats.org/officeDocument/2006/relationships/image" Target="media/1e9286908f078cc661491de57ffc4a552b2d4dac.png"/><Relationship Id="rId23" Type="http://schemas.openxmlformats.org/officeDocument/2006/relationships/image" Target="media/9f7fcf587db3b3ce1e84fd2102048103906d46ba.png"/><Relationship Id="rId24" Type="http://schemas.openxmlformats.org/officeDocument/2006/relationships/image" Target="media/a0b32f0af1a17b356f77db213e0894b4d4753cd4.png"/><Relationship Id="rId25" Type="http://schemas.openxmlformats.org/officeDocument/2006/relationships/image" Target="media/90b829ea101eef706a1b1624c2fb06e221c40999.png"/><Relationship Id="rId26" Type="http://schemas.openxmlformats.org/officeDocument/2006/relationships/image" Target="media/6a43c8807a760247a56c599c4f173690d231c7a7.png"/><Relationship Id="rId27" Type="http://schemas.openxmlformats.org/officeDocument/2006/relationships/image" Target="media/0a227498c6bdcc73d9e0ec51bf864408654008c0.png"/><Relationship Id="rId28" Type="http://schemas.openxmlformats.org/officeDocument/2006/relationships/image" Target="media/aec4cb49eb0ebef342068c0d40cdd7a1f2fb770c.png"/><Relationship Id="rId29" Type="http://schemas.openxmlformats.org/officeDocument/2006/relationships/image" Target="media/897615090ddff09b6c4bdbfbbb9aab9b3a7c3621.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Raise — PRD, User Flows, Journey Maps and Wireframes</dc:title>
  <dc:creator>Himanshu Shukla</dc:creator>
  <cp:lastModifiedBy>Un-named</cp:lastModifiedBy>
  <cp:revision>1</cp:revision>
  <dcterms:created xsi:type="dcterms:W3CDTF">2026-10-02T08:18:19.692Z</dcterms:created>
  <dcterms:modified xsi:type="dcterms:W3CDTF">2026-10-02T08:18:19.694Z</dcterms:modified>
</cp:coreProperties>
</file>

<file path=docProps/custom.xml><?xml version="1.0" encoding="utf-8"?>
<Properties xmlns="http://schemas.openxmlformats.org/officeDocument/2006/custom-properties" xmlns:vt="http://schemas.openxmlformats.org/officeDocument/2006/docPropsVTypes"/>
</file>