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622" w:rsidRDefault="008C1622"/>
    <w:p w:rsidR="008C1622" w:rsidRPr="00B76DEF" w:rsidRDefault="008C1622">
      <w:pPr>
        <w:rPr>
          <w:b/>
        </w:rPr>
      </w:pPr>
      <w:r w:rsidRPr="00B76DEF">
        <w:rPr>
          <w:b/>
        </w:rPr>
        <w:t>Cultural Safety in</w:t>
      </w:r>
      <w:r w:rsidR="00963EF3" w:rsidRPr="00B76DEF">
        <w:rPr>
          <w:b/>
        </w:rPr>
        <w:t xml:space="preserve"> the</w:t>
      </w:r>
      <w:r w:rsidRPr="00B76DEF">
        <w:rPr>
          <w:b/>
        </w:rPr>
        <w:t xml:space="preserve"> workplace</w:t>
      </w:r>
    </w:p>
    <w:p w:rsidR="008C1622" w:rsidRPr="00B76DEF" w:rsidRDefault="008C1622">
      <w:pPr>
        <w:rPr>
          <w:b/>
        </w:rPr>
      </w:pPr>
      <w:r w:rsidRPr="00B76DEF">
        <w:rPr>
          <w:b/>
        </w:rPr>
        <w:t xml:space="preserve">One of the most important strategies in developing and maintaining effective workplace relationships is to establish culturally safe work practices. A culturally safe environment is one where there is no denial of a person’s identity and no challenge to who they are or what they need. When applied to Indigenous Australian individuals, community services workers and </w:t>
      </w:r>
      <w:proofErr w:type="gramStart"/>
      <w:r w:rsidRPr="00B76DEF">
        <w:rPr>
          <w:b/>
        </w:rPr>
        <w:t>communities,</w:t>
      </w:r>
      <w:proofErr w:type="gramEnd"/>
      <w:r w:rsidRPr="00B76DEF">
        <w:rPr>
          <w:b/>
        </w:rPr>
        <w:t xml:space="preserve"> it is very much about sharing knowledge and experience. </w:t>
      </w:r>
    </w:p>
    <w:p w:rsidR="008C1622" w:rsidRPr="008C1622" w:rsidRDefault="008C1622" w:rsidP="00096356">
      <w:pPr>
        <w:rPr>
          <w:b/>
        </w:rPr>
      </w:pPr>
      <w:r w:rsidRPr="00B76DEF">
        <w:rPr>
          <w:b/>
        </w:rPr>
        <w:t xml:space="preserve">Culturally safe work practices require that you: 1. establish rapport 2. </w:t>
      </w:r>
      <w:proofErr w:type="gramStart"/>
      <w:r w:rsidRPr="00B76DEF">
        <w:rPr>
          <w:b/>
        </w:rPr>
        <w:t>be</w:t>
      </w:r>
      <w:proofErr w:type="gramEnd"/>
      <w:r w:rsidRPr="00B76DEF">
        <w:rPr>
          <w:b/>
        </w:rPr>
        <w:t xml:space="preserve"> sensitive to what culture means for service recipients, educators and communities 3. </w:t>
      </w:r>
      <w:proofErr w:type="gramStart"/>
      <w:r w:rsidRPr="00B76DEF">
        <w:rPr>
          <w:b/>
        </w:rPr>
        <w:t>use</w:t>
      </w:r>
      <w:proofErr w:type="gramEnd"/>
      <w:r w:rsidRPr="00B76DEF">
        <w:rPr>
          <w:b/>
        </w:rPr>
        <w:t xml:space="preserve"> interpersonal skills that acknowledge the integrity and worth of service recipients, educators and communities 4. </w:t>
      </w:r>
      <w:proofErr w:type="gramStart"/>
      <w:r w:rsidRPr="00B76DEF">
        <w:rPr>
          <w:b/>
        </w:rPr>
        <w:t>show</w:t>
      </w:r>
      <w:proofErr w:type="gramEnd"/>
      <w:r w:rsidRPr="00B76DEF">
        <w:rPr>
          <w:b/>
        </w:rPr>
        <w:t xml:space="preserve"> respect and empathy 5. </w:t>
      </w:r>
      <w:proofErr w:type="gramStart"/>
      <w:r w:rsidRPr="00B76DEF">
        <w:rPr>
          <w:b/>
        </w:rPr>
        <w:t>be</w:t>
      </w:r>
      <w:proofErr w:type="gramEnd"/>
      <w:r w:rsidRPr="00B76DEF">
        <w:rPr>
          <w:b/>
        </w:rPr>
        <w:t xml:space="preserve"> supportive and non-judgmental 6. </w:t>
      </w:r>
      <w:proofErr w:type="gramStart"/>
      <w:r w:rsidRPr="00B76DEF">
        <w:rPr>
          <w:b/>
        </w:rPr>
        <w:t>listen</w:t>
      </w:r>
      <w:proofErr w:type="gramEnd"/>
      <w:r w:rsidRPr="00B76DEF">
        <w:rPr>
          <w:b/>
        </w:rPr>
        <w:t xml:space="preserve"> rather than talk.</w:t>
      </w:r>
    </w:p>
    <w:p w:rsidR="008C1622" w:rsidRPr="008C1622" w:rsidRDefault="00963EF3" w:rsidP="008C1622">
      <w:pPr>
        <w:spacing w:after="225" w:line="240" w:lineRule="auto"/>
        <w:rPr>
          <w:rFonts w:ascii="Times New Roman" w:eastAsia="Times New Roman" w:hAnsi="Times New Roman" w:cs="Times New Roman"/>
          <w:b/>
          <w:sz w:val="24"/>
          <w:szCs w:val="24"/>
        </w:rPr>
      </w:pPr>
      <w:r w:rsidRPr="00B76DEF">
        <w:rPr>
          <w:rFonts w:ascii="Times New Roman" w:eastAsia="Times New Roman" w:hAnsi="Times New Roman" w:cs="Times New Roman"/>
          <w:b/>
          <w:noProof/>
          <w:sz w:val="24"/>
          <w:szCs w:val="24"/>
        </w:rPr>
        <w:drawing>
          <wp:anchor distT="0" distB="0" distL="114300" distR="114300" simplePos="0" relativeHeight="251658240" behindDoc="0" locked="0" layoutInCell="1" allowOverlap="1">
            <wp:simplePos x="0" y="0"/>
            <wp:positionH relativeFrom="column">
              <wp:posOffset>28575</wp:posOffset>
            </wp:positionH>
            <wp:positionV relativeFrom="paragraph">
              <wp:posOffset>992505</wp:posOffset>
            </wp:positionV>
            <wp:extent cx="5229225" cy="7620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229225" cy="762000"/>
                    </a:xfrm>
                    <a:prstGeom prst="rect">
                      <a:avLst/>
                    </a:prstGeom>
                    <a:noFill/>
                    <a:ln w="9525">
                      <a:noFill/>
                      <a:miter lim="800000"/>
                      <a:headEnd/>
                      <a:tailEnd/>
                    </a:ln>
                  </pic:spPr>
                </pic:pic>
              </a:graphicData>
            </a:graphic>
          </wp:anchor>
        </w:drawing>
      </w:r>
      <w:r w:rsidR="008C1622" w:rsidRPr="008C1622">
        <w:rPr>
          <w:rFonts w:ascii="Times New Roman" w:eastAsia="Times New Roman" w:hAnsi="Times New Roman" w:cs="Times New Roman"/>
          <w:b/>
          <w:sz w:val="24"/>
          <w:szCs w:val="24"/>
        </w:rPr>
        <w:t>The aim of Quality Area 1 of the National Quality Standard is to ensure that the educational program and practice is stimulating and engaging, and enhances children’s learning and development. In school age care services, the program nurtures the development of life skills and complements children’s experiences, opportunities and relationships at school, at home and in the community.</w:t>
      </w:r>
    </w:p>
    <w:p w:rsidR="008C1622" w:rsidRDefault="008C1622"/>
    <w:p w:rsidR="00963EF3" w:rsidRDefault="00963EF3"/>
    <w:p w:rsidR="00963EF3" w:rsidRDefault="00963EF3">
      <w:r>
        <w:rPr>
          <w:noProof/>
        </w:rPr>
        <w:drawing>
          <wp:anchor distT="0" distB="0" distL="114300" distR="114300" simplePos="0" relativeHeight="251659264" behindDoc="0" locked="0" layoutInCell="1" allowOverlap="1">
            <wp:simplePos x="0" y="0"/>
            <wp:positionH relativeFrom="column">
              <wp:posOffset>-142875</wp:posOffset>
            </wp:positionH>
            <wp:positionV relativeFrom="paragraph">
              <wp:posOffset>216535</wp:posOffset>
            </wp:positionV>
            <wp:extent cx="5286375" cy="88201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86375" cy="882015"/>
                    </a:xfrm>
                    <a:prstGeom prst="rect">
                      <a:avLst/>
                    </a:prstGeom>
                    <a:noFill/>
                    <a:ln w="9525">
                      <a:noFill/>
                      <a:miter lim="800000"/>
                      <a:headEnd/>
                      <a:tailEnd/>
                    </a:ln>
                  </pic:spPr>
                </pic:pic>
              </a:graphicData>
            </a:graphic>
          </wp:anchor>
        </w:drawing>
      </w:r>
      <w:r>
        <w:t xml:space="preserve">                                               </w:t>
      </w:r>
    </w:p>
    <w:p w:rsidR="00963EF3" w:rsidRDefault="00963EF3">
      <w:r>
        <w:t xml:space="preserve">                                                                                                                                                          </w:t>
      </w:r>
    </w:p>
    <w:p w:rsidR="00963EF3" w:rsidRDefault="00963EF3"/>
    <w:p w:rsidR="00963EF3" w:rsidRDefault="00963EF3"/>
    <w:tbl>
      <w:tblPr>
        <w:tblW w:w="8400" w:type="dxa"/>
        <w:tblBorders>
          <w:bottom w:val="single" w:sz="12" w:space="0" w:color="00538A"/>
        </w:tblBorders>
        <w:shd w:val="clear" w:color="auto" w:fill="FFFFFF"/>
        <w:tblCellMar>
          <w:top w:w="150" w:type="dxa"/>
          <w:left w:w="150" w:type="dxa"/>
          <w:bottom w:w="150" w:type="dxa"/>
          <w:right w:w="150" w:type="dxa"/>
        </w:tblCellMar>
        <w:tblLook w:val="04A0"/>
      </w:tblPr>
      <w:tblGrid>
        <w:gridCol w:w="1976"/>
        <w:gridCol w:w="3212"/>
        <w:gridCol w:w="3212"/>
      </w:tblGrid>
      <w:tr w:rsidR="00096356" w:rsidRPr="00096356" w:rsidTr="00096356">
        <w:trPr>
          <w:trHeight w:val="1573"/>
        </w:trPr>
        <w:tc>
          <w:tcPr>
            <w:tcW w:w="1976" w:type="dxa"/>
            <w:tcBorders>
              <w:left w:val="nil"/>
            </w:tcBorders>
            <w:shd w:val="clear" w:color="auto" w:fill="FFFFFF"/>
            <w:tcMar>
              <w:top w:w="120" w:type="dxa"/>
              <w:left w:w="120" w:type="dxa"/>
              <w:bottom w:w="120" w:type="dxa"/>
              <w:right w:w="120" w:type="dxa"/>
            </w:tcMar>
            <w:hideMark/>
          </w:tcPr>
          <w:p w:rsidR="00096356" w:rsidRPr="00096356" w:rsidRDefault="00096356" w:rsidP="00096356">
            <w:pPr>
              <w:spacing w:after="225" w:line="240" w:lineRule="auto"/>
              <w:jc w:val="center"/>
              <w:rPr>
                <w:rFonts w:ascii="Helvetica" w:eastAsia="Times New Roman" w:hAnsi="Helvetica" w:cs="Helvetica"/>
                <w:sz w:val="23"/>
                <w:szCs w:val="23"/>
              </w:rPr>
            </w:pPr>
            <w:r w:rsidRPr="00096356">
              <w:rPr>
                <w:rFonts w:ascii="Helvetica" w:eastAsia="Times New Roman" w:hAnsi="Helvetica" w:cs="Helvetica"/>
                <w:b/>
                <w:bCs/>
                <w:sz w:val="23"/>
              </w:rPr>
              <w:t>Standard 6.1</w:t>
            </w:r>
          </w:p>
        </w:tc>
        <w:tc>
          <w:tcPr>
            <w:tcW w:w="3212" w:type="dxa"/>
            <w:shd w:val="clear" w:color="auto" w:fill="FFFFFF"/>
            <w:tcMar>
              <w:top w:w="120" w:type="dxa"/>
              <w:left w:w="120" w:type="dxa"/>
              <w:bottom w:w="120" w:type="dxa"/>
              <w:right w:w="120" w:type="dxa"/>
            </w:tcMar>
            <w:hideMark/>
          </w:tcPr>
          <w:p w:rsidR="00096356" w:rsidRPr="00096356" w:rsidRDefault="00096356" w:rsidP="00096356">
            <w:pPr>
              <w:spacing w:after="225" w:line="240" w:lineRule="auto"/>
              <w:rPr>
                <w:rFonts w:ascii="Helvetica" w:eastAsia="Times New Roman" w:hAnsi="Helvetica" w:cs="Helvetica"/>
                <w:sz w:val="23"/>
                <w:szCs w:val="23"/>
              </w:rPr>
            </w:pPr>
            <w:r w:rsidRPr="00096356">
              <w:rPr>
                <w:rFonts w:ascii="Helvetica" w:eastAsia="Times New Roman" w:hAnsi="Helvetica" w:cs="Helvetica"/>
                <w:b/>
                <w:bCs/>
                <w:color w:val="000000"/>
                <w:sz w:val="23"/>
              </w:rPr>
              <w:t>Supportive relationships with families</w:t>
            </w:r>
          </w:p>
        </w:tc>
        <w:tc>
          <w:tcPr>
            <w:tcW w:w="0" w:type="auto"/>
            <w:tcBorders>
              <w:right w:val="nil"/>
            </w:tcBorders>
            <w:shd w:val="clear" w:color="auto" w:fill="FFFFFF"/>
            <w:tcMar>
              <w:top w:w="120" w:type="dxa"/>
              <w:left w:w="120" w:type="dxa"/>
              <w:bottom w:w="120" w:type="dxa"/>
              <w:right w:w="120" w:type="dxa"/>
            </w:tcMar>
            <w:hideMark/>
          </w:tcPr>
          <w:p w:rsidR="00096356" w:rsidRPr="00096356" w:rsidRDefault="00096356" w:rsidP="00096356">
            <w:pPr>
              <w:spacing w:after="225" w:line="240" w:lineRule="auto"/>
              <w:rPr>
                <w:rFonts w:ascii="Helvetica" w:eastAsia="Times New Roman" w:hAnsi="Helvetica" w:cs="Helvetica"/>
                <w:sz w:val="23"/>
                <w:szCs w:val="23"/>
              </w:rPr>
            </w:pPr>
            <w:r w:rsidRPr="00096356">
              <w:rPr>
                <w:rFonts w:ascii="Helvetica" w:eastAsia="Times New Roman" w:hAnsi="Helvetica" w:cs="Helvetica"/>
                <w:b/>
                <w:bCs/>
                <w:sz w:val="23"/>
              </w:rPr>
              <w:t>Respectful relationships with families are developed and maintained and families are supported in their parenting role.</w:t>
            </w:r>
          </w:p>
        </w:tc>
      </w:tr>
    </w:tbl>
    <w:p w:rsidR="00963EF3" w:rsidRDefault="00963EF3"/>
    <w:p w:rsidR="00963EF3" w:rsidRDefault="00963EF3"/>
    <w:sectPr w:rsidR="00963EF3" w:rsidSect="00846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1622"/>
    <w:rsid w:val="00096356"/>
    <w:rsid w:val="00640B95"/>
    <w:rsid w:val="00846BD6"/>
    <w:rsid w:val="008C1622"/>
    <w:rsid w:val="008C4E61"/>
    <w:rsid w:val="00963EF3"/>
    <w:rsid w:val="00B76D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BD6"/>
  </w:style>
  <w:style w:type="paragraph" w:styleId="Heading1">
    <w:name w:val="heading 1"/>
    <w:basedOn w:val="Normal"/>
    <w:link w:val="Heading1Char"/>
    <w:uiPriority w:val="9"/>
    <w:qFormat/>
    <w:rsid w:val="008C16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C16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6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16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16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622"/>
    <w:rPr>
      <w:b/>
      <w:bCs/>
    </w:rPr>
  </w:style>
  <w:style w:type="paragraph" w:styleId="BalloonText">
    <w:name w:val="Balloon Text"/>
    <w:basedOn w:val="Normal"/>
    <w:link w:val="BalloonTextChar"/>
    <w:uiPriority w:val="99"/>
    <w:semiHidden/>
    <w:unhideWhenUsed/>
    <w:rsid w:val="00963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E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9220445">
      <w:bodyDiv w:val="1"/>
      <w:marLeft w:val="0"/>
      <w:marRight w:val="0"/>
      <w:marTop w:val="0"/>
      <w:marBottom w:val="0"/>
      <w:divBdr>
        <w:top w:val="none" w:sz="0" w:space="0" w:color="auto"/>
        <w:left w:val="none" w:sz="0" w:space="0" w:color="auto"/>
        <w:bottom w:val="none" w:sz="0" w:space="0" w:color="auto"/>
        <w:right w:val="none" w:sz="0" w:space="0" w:color="auto"/>
      </w:divBdr>
      <w:divsChild>
        <w:div w:id="288898136">
          <w:marLeft w:val="0"/>
          <w:marRight w:val="0"/>
          <w:marTop w:val="0"/>
          <w:marBottom w:val="0"/>
          <w:divBdr>
            <w:top w:val="none" w:sz="0" w:space="0" w:color="auto"/>
            <w:left w:val="none" w:sz="0" w:space="0" w:color="auto"/>
            <w:bottom w:val="none" w:sz="0" w:space="0" w:color="auto"/>
            <w:right w:val="none" w:sz="0" w:space="0" w:color="auto"/>
          </w:divBdr>
        </w:div>
        <w:div w:id="778916223">
          <w:marLeft w:val="0"/>
          <w:marRight w:val="0"/>
          <w:marTop w:val="0"/>
          <w:marBottom w:val="0"/>
          <w:divBdr>
            <w:top w:val="none" w:sz="0" w:space="0" w:color="auto"/>
            <w:left w:val="none" w:sz="0" w:space="0" w:color="auto"/>
            <w:bottom w:val="none" w:sz="0" w:space="0" w:color="auto"/>
            <w:right w:val="none" w:sz="0" w:space="0" w:color="auto"/>
          </w:divBdr>
          <w:divsChild>
            <w:div w:id="1897814467">
              <w:marLeft w:val="0"/>
              <w:marRight w:val="0"/>
              <w:marTop w:val="0"/>
              <w:marBottom w:val="0"/>
              <w:divBdr>
                <w:top w:val="none" w:sz="0" w:space="0" w:color="auto"/>
                <w:left w:val="none" w:sz="0" w:space="0" w:color="auto"/>
                <w:bottom w:val="none" w:sz="0" w:space="0" w:color="auto"/>
                <w:right w:val="none" w:sz="0" w:space="0" w:color="auto"/>
              </w:divBdr>
              <w:divsChild>
                <w:div w:id="997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154659">
      <w:bodyDiv w:val="1"/>
      <w:marLeft w:val="0"/>
      <w:marRight w:val="0"/>
      <w:marTop w:val="0"/>
      <w:marBottom w:val="0"/>
      <w:divBdr>
        <w:top w:val="none" w:sz="0" w:space="0" w:color="auto"/>
        <w:left w:val="none" w:sz="0" w:space="0" w:color="auto"/>
        <w:bottom w:val="none" w:sz="0" w:space="0" w:color="auto"/>
        <w:right w:val="none" w:sz="0" w:space="0" w:color="auto"/>
      </w:divBdr>
    </w:div>
    <w:div w:id="831216436">
      <w:bodyDiv w:val="1"/>
      <w:marLeft w:val="0"/>
      <w:marRight w:val="0"/>
      <w:marTop w:val="0"/>
      <w:marBottom w:val="0"/>
      <w:divBdr>
        <w:top w:val="none" w:sz="0" w:space="0" w:color="auto"/>
        <w:left w:val="none" w:sz="0" w:space="0" w:color="auto"/>
        <w:bottom w:val="none" w:sz="0" w:space="0" w:color="auto"/>
        <w:right w:val="none" w:sz="0" w:space="0" w:color="auto"/>
      </w:divBdr>
      <w:divsChild>
        <w:div w:id="1832062233">
          <w:marLeft w:val="0"/>
          <w:marRight w:val="0"/>
          <w:marTop w:val="0"/>
          <w:marBottom w:val="0"/>
          <w:divBdr>
            <w:top w:val="none" w:sz="0" w:space="0" w:color="auto"/>
            <w:left w:val="none" w:sz="0" w:space="0" w:color="auto"/>
            <w:bottom w:val="none" w:sz="0" w:space="0" w:color="auto"/>
            <w:right w:val="none" w:sz="0" w:space="0" w:color="auto"/>
          </w:divBdr>
        </w:div>
        <w:div w:id="1779133549">
          <w:marLeft w:val="0"/>
          <w:marRight w:val="0"/>
          <w:marTop w:val="0"/>
          <w:marBottom w:val="0"/>
          <w:divBdr>
            <w:top w:val="none" w:sz="0" w:space="0" w:color="auto"/>
            <w:left w:val="none" w:sz="0" w:space="0" w:color="auto"/>
            <w:bottom w:val="none" w:sz="0" w:space="0" w:color="auto"/>
            <w:right w:val="none" w:sz="0" w:space="0" w:color="auto"/>
          </w:divBdr>
          <w:divsChild>
            <w:div w:id="911083863">
              <w:marLeft w:val="0"/>
              <w:marRight w:val="0"/>
              <w:marTop w:val="0"/>
              <w:marBottom w:val="0"/>
              <w:divBdr>
                <w:top w:val="none" w:sz="0" w:space="0" w:color="auto"/>
                <w:left w:val="none" w:sz="0" w:space="0" w:color="auto"/>
                <w:bottom w:val="none" w:sz="0" w:space="0" w:color="auto"/>
                <w:right w:val="none" w:sz="0" w:space="0" w:color="auto"/>
              </w:divBdr>
              <w:divsChild>
                <w:div w:id="21375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28582">
      <w:bodyDiv w:val="1"/>
      <w:marLeft w:val="0"/>
      <w:marRight w:val="0"/>
      <w:marTop w:val="0"/>
      <w:marBottom w:val="0"/>
      <w:divBdr>
        <w:top w:val="none" w:sz="0" w:space="0" w:color="auto"/>
        <w:left w:val="none" w:sz="0" w:space="0" w:color="auto"/>
        <w:bottom w:val="none" w:sz="0" w:space="0" w:color="auto"/>
        <w:right w:val="none" w:sz="0" w:space="0" w:color="auto"/>
      </w:divBdr>
      <w:divsChild>
        <w:div w:id="1114251985">
          <w:marLeft w:val="0"/>
          <w:marRight w:val="0"/>
          <w:marTop w:val="0"/>
          <w:marBottom w:val="0"/>
          <w:divBdr>
            <w:top w:val="none" w:sz="0" w:space="0" w:color="auto"/>
            <w:left w:val="none" w:sz="0" w:space="0" w:color="auto"/>
            <w:bottom w:val="none" w:sz="0" w:space="0" w:color="auto"/>
            <w:right w:val="none" w:sz="0" w:space="0" w:color="auto"/>
          </w:divBdr>
        </w:div>
        <w:div w:id="134298917">
          <w:marLeft w:val="0"/>
          <w:marRight w:val="0"/>
          <w:marTop w:val="0"/>
          <w:marBottom w:val="0"/>
          <w:divBdr>
            <w:top w:val="none" w:sz="0" w:space="0" w:color="auto"/>
            <w:left w:val="none" w:sz="0" w:space="0" w:color="auto"/>
            <w:bottom w:val="none" w:sz="0" w:space="0" w:color="auto"/>
            <w:right w:val="none" w:sz="0" w:space="0" w:color="auto"/>
          </w:divBdr>
          <w:divsChild>
            <w:div w:id="1578592423">
              <w:marLeft w:val="0"/>
              <w:marRight w:val="0"/>
              <w:marTop w:val="0"/>
              <w:marBottom w:val="0"/>
              <w:divBdr>
                <w:top w:val="none" w:sz="0" w:space="0" w:color="auto"/>
                <w:left w:val="none" w:sz="0" w:space="0" w:color="auto"/>
                <w:bottom w:val="none" w:sz="0" w:space="0" w:color="auto"/>
                <w:right w:val="none" w:sz="0" w:space="0" w:color="auto"/>
              </w:divBdr>
              <w:divsChild>
                <w:div w:id="9790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725115">
      <w:bodyDiv w:val="1"/>
      <w:marLeft w:val="0"/>
      <w:marRight w:val="0"/>
      <w:marTop w:val="0"/>
      <w:marBottom w:val="0"/>
      <w:divBdr>
        <w:top w:val="none" w:sz="0" w:space="0" w:color="auto"/>
        <w:left w:val="none" w:sz="0" w:space="0" w:color="auto"/>
        <w:bottom w:val="none" w:sz="0" w:space="0" w:color="auto"/>
        <w:right w:val="none" w:sz="0" w:space="0" w:color="auto"/>
      </w:divBdr>
      <w:divsChild>
        <w:div w:id="458501171">
          <w:marLeft w:val="0"/>
          <w:marRight w:val="0"/>
          <w:marTop w:val="0"/>
          <w:marBottom w:val="0"/>
          <w:divBdr>
            <w:top w:val="none" w:sz="0" w:space="0" w:color="auto"/>
            <w:left w:val="none" w:sz="0" w:space="0" w:color="auto"/>
            <w:bottom w:val="none" w:sz="0" w:space="0" w:color="auto"/>
            <w:right w:val="none" w:sz="0" w:space="0" w:color="auto"/>
          </w:divBdr>
        </w:div>
        <w:div w:id="362050567">
          <w:marLeft w:val="0"/>
          <w:marRight w:val="0"/>
          <w:marTop w:val="0"/>
          <w:marBottom w:val="0"/>
          <w:divBdr>
            <w:top w:val="none" w:sz="0" w:space="0" w:color="auto"/>
            <w:left w:val="none" w:sz="0" w:space="0" w:color="auto"/>
            <w:bottom w:val="none" w:sz="0" w:space="0" w:color="auto"/>
            <w:right w:val="none" w:sz="0" w:space="0" w:color="auto"/>
          </w:divBdr>
          <w:divsChild>
            <w:div w:id="946156081">
              <w:marLeft w:val="0"/>
              <w:marRight w:val="0"/>
              <w:marTop w:val="0"/>
              <w:marBottom w:val="0"/>
              <w:divBdr>
                <w:top w:val="none" w:sz="0" w:space="0" w:color="auto"/>
                <w:left w:val="none" w:sz="0" w:space="0" w:color="auto"/>
                <w:bottom w:val="none" w:sz="0" w:space="0" w:color="auto"/>
                <w:right w:val="none" w:sz="0" w:space="0" w:color="auto"/>
              </w:divBdr>
              <w:divsChild>
                <w:div w:id="12193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54126">
      <w:bodyDiv w:val="1"/>
      <w:marLeft w:val="0"/>
      <w:marRight w:val="0"/>
      <w:marTop w:val="0"/>
      <w:marBottom w:val="0"/>
      <w:divBdr>
        <w:top w:val="none" w:sz="0" w:space="0" w:color="auto"/>
        <w:left w:val="none" w:sz="0" w:space="0" w:color="auto"/>
        <w:bottom w:val="none" w:sz="0" w:space="0" w:color="auto"/>
        <w:right w:val="none" w:sz="0" w:space="0" w:color="auto"/>
      </w:divBdr>
      <w:divsChild>
        <w:div w:id="28071361">
          <w:marLeft w:val="0"/>
          <w:marRight w:val="0"/>
          <w:marTop w:val="0"/>
          <w:marBottom w:val="0"/>
          <w:divBdr>
            <w:top w:val="none" w:sz="0" w:space="0" w:color="auto"/>
            <w:left w:val="none" w:sz="0" w:space="0" w:color="auto"/>
            <w:bottom w:val="none" w:sz="0" w:space="0" w:color="auto"/>
            <w:right w:val="none" w:sz="0" w:space="0" w:color="auto"/>
          </w:divBdr>
        </w:div>
        <w:div w:id="201213452">
          <w:marLeft w:val="0"/>
          <w:marRight w:val="0"/>
          <w:marTop w:val="0"/>
          <w:marBottom w:val="0"/>
          <w:divBdr>
            <w:top w:val="none" w:sz="0" w:space="0" w:color="auto"/>
            <w:left w:val="none" w:sz="0" w:space="0" w:color="auto"/>
            <w:bottom w:val="none" w:sz="0" w:space="0" w:color="auto"/>
            <w:right w:val="none" w:sz="0" w:space="0" w:color="auto"/>
          </w:divBdr>
          <w:divsChild>
            <w:div w:id="988291465">
              <w:marLeft w:val="0"/>
              <w:marRight w:val="0"/>
              <w:marTop w:val="0"/>
              <w:marBottom w:val="0"/>
              <w:divBdr>
                <w:top w:val="none" w:sz="0" w:space="0" w:color="auto"/>
                <w:left w:val="none" w:sz="0" w:space="0" w:color="auto"/>
                <w:bottom w:val="none" w:sz="0" w:space="0" w:color="auto"/>
                <w:right w:val="none" w:sz="0" w:space="0" w:color="auto"/>
              </w:divBdr>
              <w:divsChild>
                <w:div w:id="17044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8535">
      <w:bodyDiv w:val="1"/>
      <w:marLeft w:val="0"/>
      <w:marRight w:val="0"/>
      <w:marTop w:val="0"/>
      <w:marBottom w:val="0"/>
      <w:divBdr>
        <w:top w:val="none" w:sz="0" w:space="0" w:color="auto"/>
        <w:left w:val="none" w:sz="0" w:space="0" w:color="auto"/>
        <w:bottom w:val="none" w:sz="0" w:space="0" w:color="auto"/>
        <w:right w:val="none" w:sz="0" w:space="0" w:color="auto"/>
      </w:divBdr>
      <w:divsChild>
        <w:div w:id="1741950583">
          <w:marLeft w:val="0"/>
          <w:marRight w:val="0"/>
          <w:marTop w:val="0"/>
          <w:marBottom w:val="0"/>
          <w:divBdr>
            <w:top w:val="none" w:sz="0" w:space="0" w:color="auto"/>
            <w:left w:val="none" w:sz="0" w:space="0" w:color="auto"/>
            <w:bottom w:val="none" w:sz="0" w:space="0" w:color="auto"/>
            <w:right w:val="none" w:sz="0" w:space="0" w:color="auto"/>
          </w:divBdr>
        </w:div>
        <w:div w:id="1222518312">
          <w:marLeft w:val="0"/>
          <w:marRight w:val="0"/>
          <w:marTop w:val="0"/>
          <w:marBottom w:val="0"/>
          <w:divBdr>
            <w:top w:val="none" w:sz="0" w:space="0" w:color="auto"/>
            <w:left w:val="none" w:sz="0" w:space="0" w:color="auto"/>
            <w:bottom w:val="none" w:sz="0" w:space="0" w:color="auto"/>
            <w:right w:val="none" w:sz="0" w:space="0" w:color="auto"/>
          </w:divBdr>
          <w:divsChild>
            <w:div w:id="1214390223">
              <w:marLeft w:val="0"/>
              <w:marRight w:val="0"/>
              <w:marTop w:val="0"/>
              <w:marBottom w:val="0"/>
              <w:divBdr>
                <w:top w:val="none" w:sz="0" w:space="0" w:color="auto"/>
                <w:left w:val="none" w:sz="0" w:space="0" w:color="auto"/>
                <w:bottom w:val="none" w:sz="0" w:space="0" w:color="auto"/>
                <w:right w:val="none" w:sz="0" w:space="0" w:color="auto"/>
              </w:divBdr>
              <w:divsChild>
                <w:div w:id="1242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744315">
      <w:bodyDiv w:val="1"/>
      <w:marLeft w:val="0"/>
      <w:marRight w:val="0"/>
      <w:marTop w:val="0"/>
      <w:marBottom w:val="0"/>
      <w:divBdr>
        <w:top w:val="none" w:sz="0" w:space="0" w:color="auto"/>
        <w:left w:val="none" w:sz="0" w:space="0" w:color="auto"/>
        <w:bottom w:val="none" w:sz="0" w:space="0" w:color="auto"/>
        <w:right w:val="none" w:sz="0" w:space="0" w:color="auto"/>
      </w:divBdr>
      <w:divsChild>
        <w:div w:id="186497407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0"/>
          <w:marBottom w:val="0"/>
          <w:divBdr>
            <w:top w:val="none" w:sz="0" w:space="0" w:color="auto"/>
            <w:left w:val="none" w:sz="0" w:space="0" w:color="auto"/>
            <w:bottom w:val="none" w:sz="0" w:space="0" w:color="auto"/>
            <w:right w:val="none" w:sz="0" w:space="0" w:color="auto"/>
          </w:divBdr>
          <w:divsChild>
            <w:div w:id="1765953335">
              <w:marLeft w:val="0"/>
              <w:marRight w:val="0"/>
              <w:marTop w:val="0"/>
              <w:marBottom w:val="0"/>
              <w:divBdr>
                <w:top w:val="none" w:sz="0" w:space="0" w:color="auto"/>
                <w:left w:val="none" w:sz="0" w:space="0" w:color="auto"/>
                <w:bottom w:val="none" w:sz="0" w:space="0" w:color="auto"/>
                <w:right w:val="none" w:sz="0" w:space="0" w:color="auto"/>
              </w:divBdr>
              <w:divsChild>
                <w:div w:id="6126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B2915-6FF7-491B-AABB-B69699959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Internet Cafe</dc:creator>
  <cp:lastModifiedBy>Go Internet Cafe</cp:lastModifiedBy>
  <cp:revision>2</cp:revision>
  <dcterms:created xsi:type="dcterms:W3CDTF">2018-12-24T02:40:00Z</dcterms:created>
  <dcterms:modified xsi:type="dcterms:W3CDTF">2018-12-24T02:40:00Z</dcterms:modified>
</cp:coreProperties>
</file>