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56"/>
        </w:rPr>
        <w:t>RL-REIT PROJECT</w:t>
      </w:r>
    </w:p>
    <w:p>
      <w:pPr>
        <w:jc w:val="center"/>
      </w:pPr>
      <w:r>
        <w:rPr>
          <w:b/>
          <w:sz w:val="40"/>
        </w:rPr>
        <w:t>Week 1 Progress Report</w:t>
      </w:r>
    </w:p>
    <w:p>
      <w:pPr>
        <w:jc w:val="center"/>
      </w:pPr>
      <w:r>
        <w:rPr>
          <w:sz w:val="26"/>
        </w:rPr>
        <w:t>Data Acquisition, Exploration, Cleaning and Feature Engineering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RL-REIT: A Deep Reinforcement Learning Agent for Real Estate ETF Trading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Assigned by</w:t>
            </w:r>
          </w:p>
        </w:tc>
        <w:tc>
          <w:tcPr>
            <w:tcW w:type="dxa" w:w="4968"/>
            <w:vAlign w:val="center"/>
          </w:tcPr>
          <w:p>
            <w:r>
              <w:t>Greatest Company Limited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Domain</w:t>
            </w:r>
          </w:p>
        </w:tc>
        <w:tc>
          <w:tcPr>
            <w:tcW w:type="dxa" w:w="4968"/>
            <w:vAlign w:val="center"/>
          </w:tcPr>
          <w:p>
            <w:r>
              <w:t>Reinforcement Learning · Financial Time-Series · Real Estate Proxy Data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Reporting period</w:t>
            </w:r>
          </w:p>
        </w:tc>
        <w:tc>
          <w:tcPr>
            <w:tcW w:type="dxa" w:w="4968"/>
            <w:vAlign w:val="center"/>
          </w:tcPr>
          <w:p>
            <w:r>
              <w:t>Week 1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Primary dataset</w:t>
            </w:r>
          </w:p>
        </w:tc>
        <w:tc>
          <w:tcPr>
            <w:tcW w:type="dxa" w:w="4968"/>
            <w:vAlign w:val="center"/>
          </w:tcPr>
          <w:p>
            <w:r>
              <w:t>VNQ (Vanguard Real Estate ETF)</w:t>
            </w:r>
          </w:p>
        </w:tc>
      </w:tr>
    </w:tbl>
    <w:p/>
    <w:p>
      <w:pPr>
        <w:jc w:val="center"/>
      </w:pPr>
      <w:r>
        <w:rPr>
          <w:i/>
          <w:sz w:val="20"/>
        </w:rPr>
        <w:t>Prepared as a Week 1 project submission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 w:line="259" w:lineRule="auto"/>
      </w:pPr>
      <w:r>
        <w:t>The RL-REIT project is an academic Deep Reinforcement Learning project focused on sequential decision-making for simulated trading of Real Estate Investment Trust (REIT) exchange-traded funds. The project is designed to move beyond conventional supervised-learning prediction tasks. Instead of predicting a future price directly, the eventual agent will learn to choose among Buy, Sell and Hold actions inside a simulated trading environment.</w:t>
      </w:r>
    </w:p>
    <w:p>
      <w:pPr>
        <w:spacing w:after="120" w:line="259" w:lineRule="auto"/>
      </w:pPr>
      <w:r>
        <w:t>The project brief specifies a four-week development plan. Week 1 focuses on data and feature preparation: programmatically obtaining historical REIT/real-estate ETF data, performing exploratory analysis, cleaning the data, engineering technical indicators and preparing the resulting features for the later trading environment.</w:t>
      </w:r>
    </w:p>
    <w:p>
      <w:pPr>
        <w:pStyle w:val="Heading1"/>
      </w:pPr>
      <w:r>
        <w:t>2. Week 1 Objectives</w:t>
      </w:r>
    </w:p>
    <w:p>
      <w:pPr>
        <w:spacing w:after="120" w:line="259" w:lineRule="auto"/>
      </w:pPr>
      <w:r>
        <w:t>The objectives completed during Week 1 were:</w:t>
      </w:r>
    </w:p>
    <w:p>
      <w:pPr>
        <w:pStyle w:val="ListBullet"/>
        <w:spacing w:after="60"/>
      </w:pPr>
      <w:r>
        <w:t>Programmatically acquire historical market data rather than manually downloading a CSV file.</w:t>
      </w:r>
    </w:p>
    <w:p>
      <w:pPr>
        <w:pStyle w:val="ListBullet"/>
        <w:spacing w:after="60"/>
      </w:pPr>
      <w:r>
        <w:t>Use VNQ as the primary real-estate market proxy and collect XLRE and IYR as comparison ETFs.</w:t>
      </w:r>
    </w:p>
    <w:p>
      <w:pPr>
        <w:pStyle w:val="ListBullet"/>
        <w:spacing w:after="60"/>
      </w:pPr>
      <w:r>
        <w:t>Store the raw downloaded data separately from processed data.</w:t>
      </w:r>
    </w:p>
    <w:p>
      <w:pPr>
        <w:pStyle w:val="ListBullet"/>
        <w:spacing w:after="60"/>
      </w:pPr>
      <w:r>
        <w:t>Inspect the structure, date coverage, columns, data types and missing values.</w:t>
      </w:r>
    </w:p>
    <w:p>
      <w:pPr>
        <w:pStyle w:val="ListBullet"/>
        <w:spacing w:after="60"/>
      </w:pPr>
      <w:r>
        <w:t>Clean the datasets by standardizing dates, sorting observations, removing duplicate dates and handling incomplete rows.</w:t>
      </w:r>
    </w:p>
    <w:p>
      <w:pPr>
        <w:pStyle w:val="ListBullet"/>
        <w:spacing w:after="60"/>
      </w:pPr>
      <w:r>
        <w:t>Engineer daily returns, moving averages, volatility, RSI and MACD-related features.</w:t>
      </w:r>
    </w:p>
    <w:p>
      <w:pPr>
        <w:pStyle w:val="ListBullet"/>
        <w:spacing w:after="60"/>
      </w:pPr>
      <w:r>
        <w:t>Save the cleaned and feature-engineered datasets in the processed-data directory for Week 2.</w:t>
      </w:r>
    </w:p>
    <w:p>
      <w:pPr>
        <w:pStyle w:val="Heading1"/>
      </w:pPr>
      <w:r>
        <w:t>3. Project Environment and Tools</w:t>
      </w:r>
    </w:p>
    <w:p>
      <w:pPr>
        <w:spacing w:after="120" w:line="259" w:lineRule="auto"/>
      </w:pPr>
      <w:r>
        <w:t>The development environment was prepared on a standard Windows computer using Python. The project brief requires Python 3.9+ and identifies pandas, numpy, torch, gymnasium, stable-baselines3 and matplotlib as core libraries. The yfinance package was used for programmatic access to Yahoo Finance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Tool / Library</w:t>
            </w:r>
          </w:p>
        </w:tc>
        <w:tc>
          <w:tcPr>
            <w:tcW w:type="dxa" w:w="4968"/>
            <w:shd w:fill="D9EAF7"/>
          </w:tcPr>
          <w:p>
            <w:r>
              <w:t>Purpose in Week 1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Main programming language</w:t>
            </w:r>
          </w:p>
        </w:tc>
      </w:tr>
      <w:tr>
        <w:tc>
          <w:tcPr>
            <w:tcW w:type="dxa" w:w="4968"/>
          </w:tcPr>
          <w:p>
            <w:r>
              <w:t>pandas</w:t>
            </w:r>
          </w:p>
        </w:tc>
        <w:tc>
          <w:tcPr>
            <w:tcW w:type="dxa" w:w="4968"/>
          </w:tcPr>
          <w:p>
            <w:r>
              <w:t>Data loading, cleaning and tabular processing</w:t>
            </w:r>
          </w:p>
        </w:tc>
      </w:tr>
      <w:tr>
        <w:tc>
          <w:tcPr>
            <w:tcW w:type="dxa" w:w="4968"/>
          </w:tcPr>
          <w:p>
            <w:r>
              <w:t>numpy</w:t>
            </w:r>
          </w:p>
        </w:tc>
        <w:tc>
          <w:tcPr>
            <w:tcW w:type="dxa" w:w="4968"/>
          </w:tcPr>
          <w:p>
            <w:r>
              <w:t>Numerical calculations</w:t>
            </w:r>
          </w:p>
        </w:tc>
      </w:tr>
      <w:tr>
        <w:tc>
          <w:tcPr>
            <w:tcW w:type="dxa" w:w="4968"/>
          </w:tcPr>
          <w:p>
            <w:r>
              <w:t>yfinance</w:t>
            </w:r>
          </w:p>
        </w:tc>
        <w:tc>
          <w:tcPr>
            <w:tcW w:type="dxa" w:w="4968"/>
          </w:tcPr>
          <w:p>
            <w:r>
              <w:t>Programmatic acquisition of Yahoo Finance market data</w:t>
            </w:r>
          </w:p>
        </w:tc>
      </w:tr>
      <w:tr>
        <w:tc>
          <w:tcPr>
            <w:tcW w:type="dxa" w:w="4968"/>
          </w:tcPr>
          <w:p>
            <w:r>
              <w:t>matplotlib</w:t>
            </w:r>
          </w:p>
        </w:tc>
        <w:tc>
          <w:tcPr>
            <w:tcW w:type="dxa" w:w="4968"/>
          </w:tcPr>
          <w:p>
            <w:r>
              <w:t>Planned visualization and analysis support</w:t>
            </w:r>
          </w:p>
        </w:tc>
      </w:tr>
    </w:tbl>
    <w:p>
      <w:pPr>
        <w:pStyle w:val="Heading1"/>
      </w:pPr>
      <w:r>
        <w:t>4. Data Acquisition</w:t>
      </w:r>
    </w:p>
    <w:p>
      <w:pPr>
        <w:spacing w:after="120" w:line="259" w:lineRule="auto"/>
      </w:pPr>
      <w:r>
        <w:t>The primary dataset was obtained from Yahoo Finance through yfinance. The selected instruments were VNQ, XLRE and IYR. VNQ was treated as the primary dataset because it tracks a broad group of U.S. REITs, while XLRE and IYR were retained as secondary and tertiary comparison ETFs.</w:t>
      </w:r>
    </w:p>
    <w:p>
      <w:pPr>
        <w:spacing w:after="120" w:line="259" w:lineRule="auto"/>
      </w:pPr>
      <w:r>
        <w:t>The requested historical period was 1 January 2010 through 31 December 2024. The downloaded trading data began on 4 January 2010 because 1 January 2010 was not a trading day, and the observed data extended through 31 December 2024.</w:t>
      </w:r>
    </w:p>
    <w:p>
      <w:pPr>
        <w:spacing w:after="120" w:line="259" w:lineRule="auto"/>
      </w:pPr>
      <w:r>
        <w:t>The required market fields were Open, High, Low, Close, Adjusted Close and Volume. The raw downloads were saved under data/raw/ so that the original pulled data remained separate from later processing.</w:t>
      </w:r>
    </w:p>
    <w:p>
      <w:pPr>
        <w:pStyle w:val="ListBullet"/>
        <w:spacing w:after="60"/>
      </w:pPr>
      <w:r>
        <w:t>VNQ.csv — raw VNQ historical data</w:t>
      </w:r>
    </w:p>
    <w:p>
      <w:pPr>
        <w:pStyle w:val="ListBullet"/>
        <w:spacing w:after="60"/>
      </w:pPr>
      <w:r>
        <w:t>XLRE.csv — raw XLRE historical data</w:t>
      </w:r>
    </w:p>
    <w:p>
      <w:pPr>
        <w:pStyle w:val="ListBullet"/>
        <w:spacing w:after="60"/>
      </w:pPr>
      <w:r>
        <w:t>IYR.csv — raw IYR historical data</w:t>
      </w:r>
    </w:p>
    <w:p>
      <w:pPr>
        <w:pStyle w:val="Heading1"/>
      </w:pPr>
      <w:r>
        <w:t>5. Exploratory Data Analysis</w:t>
      </w:r>
    </w:p>
    <w:p>
      <w:pPr>
        <w:spacing w:after="120" w:line="259" w:lineRule="auto"/>
      </w:pPr>
      <w:r>
        <w:t>A dedicated data-exploration script was created to inspect each ETF. The exploration checked the first and last records, dataset dimensions, available columns, date range, missing values, data types and descriptive statistics.</w:t>
      </w:r>
    </w:p>
    <w:p>
      <w:pPr>
        <w:spacing w:after="120" w:line="259" w:lineRule="auto"/>
      </w:pPr>
      <w:r>
        <w:t>The exploration confirmed that the required OHLCV-style fields were available for the three ETFs. The date coverage observed in the downloaded data was from 4 January 2010 to 31 December 2024. The required market fields showed zero missing values in the Week 1 inspection.</w:t>
      </w:r>
    </w:p>
    <w:p>
      <w:pPr>
        <w:spacing w:after="120" w:line="259" w:lineRule="auto"/>
      </w:pPr>
      <w:r>
        <w:t>This step was important because the later reinforcement-learning environment depends on reliable sequential time-series observations. Any missing, duplicated or incorrectly typed observations could affect indicators, states and rewards in the future trading simulation.</w:t>
      </w:r>
    </w:p>
    <w:p>
      <w:pPr>
        <w:pStyle w:val="Heading1"/>
      </w:pPr>
      <w:r>
        <w:t>6. Data Cleaning</w:t>
      </w:r>
    </w:p>
    <w:p>
      <w:pPr>
        <w:spacing w:after="120" w:line="259" w:lineRule="auto"/>
      </w:pPr>
      <w:r>
        <w:t>The raw files were not overwritten. Instead, a separate cleaning script processed each raw dataset and saved the results under data/processed/. The cleaning pipeline converted the Date field to a datetime format, sorted observations chronologically, removed duplicate dates, removed rows missing required market fields, and reset the dataframe index.</w:t>
      </w:r>
    </w:p>
    <w:p>
      <w:pPr>
        <w:spacing w:after="120" w:line="259" w:lineRule="auto"/>
      </w:pPr>
      <w:r>
        <w:t>The resulting cleaned files were:</w:t>
      </w:r>
    </w:p>
    <w:p>
      <w:pPr>
        <w:pStyle w:val="ListBullet"/>
        <w:spacing w:after="60"/>
      </w:pPr>
      <w:r>
        <w:t>data/processed/VNQ_clean.csv</w:t>
      </w:r>
    </w:p>
    <w:p>
      <w:pPr>
        <w:pStyle w:val="ListBullet"/>
        <w:spacing w:after="60"/>
      </w:pPr>
      <w:r>
        <w:t>data/processed/XLRE_clean.csv</w:t>
      </w:r>
    </w:p>
    <w:p>
      <w:pPr>
        <w:pStyle w:val="ListBullet"/>
        <w:spacing w:after="60"/>
      </w:pPr>
      <w:r>
        <w:t>data/processed/IYR_clean.csv</w:t>
      </w:r>
    </w:p>
    <w:p>
      <w:pPr>
        <w:spacing w:after="120" w:line="259" w:lineRule="auto"/>
      </w:pPr>
      <w:r>
        <w:t>Keeping raw and processed data separate preserves reproducibility and allows the original downloaded data to remain available if later processing steps need to be reviewed or repeated.</w:t>
      </w:r>
    </w:p>
    <w:p>
      <w:pPr>
        <w:pStyle w:val="Heading1"/>
      </w:pPr>
      <w:r>
        <w:t>7. Feature Engineering</w:t>
      </w:r>
    </w:p>
    <w:p>
      <w:pPr>
        <w:spacing w:after="120" w:line="259" w:lineRule="auto"/>
      </w:pPr>
      <w:r>
        <w:t>After cleaning, technical features were engineered from the Close price and historical returns. These features are intended to provide richer market information to the future reinforcement-learning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Feature</w:t>
            </w:r>
          </w:p>
        </w:tc>
        <w:tc>
          <w:tcPr>
            <w:tcW w:type="dxa" w:w="3312"/>
            <w:shd w:fill="D9EAF7"/>
          </w:tcPr>
          <w:p>
            <w:r>
              <w:t>Description</w:t>
            </w:r>
          </w:p>
        </w:tc>
        <w:tc>
          <w:tcPr>
            <w:tcW w:type="dxa" w:w="3312"/>
            <w:shd w:fill="D9EAF7"/>
          </w:tcPr>
          <w:p>
            <w:r>
              <w:t>Role in later modeling</w:t>
            </w:r>
          </w:p>
        </w:tc>
      </w:tr>
      <w:tr>
        <w:tc>
          <w:tcPr>
            <w:tcW w:type="dxa" w:w="3312"/>
          </w:tcPr>
          <w:p>
            <w:r>
              <w:t>Return</w:t>
            </w:r>
          </w:p>
        </w:tc>
        <w:tc>
          <w:tcPr>
            <w:tcW w:type="dxa" w:w="3312"/>
          </w:tcPr>
          <w:p>
            <w:r>
              <w:t>Daily percentage change in Close price</w:t>
            </w:r>
          </w:p>
        </w:tc>
        <w:tc>
          <w:tcPr>
            <w:tcW w:type="dxa" w:w="3312"/>
          </w:tcPr>
          <w:p>
            <w:r>
              <w:t>Represents daily price movement</w:t>
            </w:r>
          </w:p>
        </w:tc>
      </w:tr>
      <w:tr>
        <w:tc>
          <w:tcPr>
            <w:tcW w:type="dxa" w:w="3312"/>
          </w:tcPr>
          <w:p>
            <w:r>
              <w:t>MA_10</w:t>
            </w:r>
          </w:p>
        </w:tc>
        <w:tc>
          <w:tcPr>
            <w:tcW w:type="dxa" w:w="3312"/>
          </w:tcPr>
          <w:p>
            <w:r>
              <w:t>10-day moving average of Close</w:t>
            </w:r>
          </w:p>
        </w:tc>
        <w:tc>
          <w:tcPr>
            <w:tcW w:type="dxa" w:w="3312"/>
          </w:tcPr>
          <w:p>
            <w:r>
              <w:t>Short-term trend information</w:t>
            </w:r>
          </w:p>
        </w:tc>
      </w:tr>
      <w:tr>
        <w:tc>
          <w:tcPr>
            <w:tcW w:type="dxa" w:w="3312"/>
          </w:tcPr>
          <w:p>
            <w:r>
              <w:t>MA_20</w:t>
            </w:r>
          </w:p>
        </w:tc>
        <w:tc>
          <w:tcPr>
            <w:tcW w:type="dxa" w:w="3312"/>
          </w:tcPr>
          <w:p>
            <w:r>
              <w:t>20-day moving average of Close</w:t>
            </w:r>
          </w:p>
        </w:tc>
        <w:tc>
          <w:tcPr>
            <w:tcW w:type="dxa" w:w="3312"/>
          </w:tcPr>
          <w:p>
            <w:r>
              <w:t>Intermediate trend information</w:t>
            </w:r>
          </w:p>
        </w:tc>
      </w:tr>
      <w:tr>
        <w:tc>
          <w:tcPr>
            <w:tcW w:type="dxa" w:w="3312"/>
          </w:tcPr>
          <w:p>
            <w:r>
              <w:t>MA_50</w:t>
            </w:r>
          </w:p>
        </w:tc>
        <w:tc>
          <w:tcPr>
            <w:tcW w:type="dxa" w:w="3312"/>
          </w:tcPr>
          <w:p>
            <w:r>
              <w:t>50-day moving average of Close</w:t>
            </w:r>
          </w:p>
        </w:tc>
        <w:tc>
          <w:tcPr>
            <w:tcW w:type="dxa" w:w="3312"/>
          </w:tcPr>
          <w:p>
            <w:r>
              <w:t>Longer trend information</w:t>
            </w:r>
          </w:p>
        </w:tc>
      </w:tr>
      <w:tr>
        <w:tc>
          <w:tcPr>
            <w:tcW w:type="dxa" w:w="3312"/>
          </w:tcPr>
          <w:p>
            <w:r>
              <w:t>Volatility_20</w:t>
            </w:r>
          </w:p>
        </w:tc>
        <w:tc>
          <w:tcPr>
            <w:tcW w:type="dxa" w:w="3312"/>
          </w:tcPr>
          <w:p>
            <w:r>
              <w:t>20-day rolling standard deviation of daily returns</w:t>
            </w:r>
          </w:p>
        </w:tc>
        <w:tc>
          <w:tcPr>
            <w:tcW w:type="dxa" w:w="3312"/>
          </w:tcPr>
          <w:p>
            <w:r>
              <w:t>Measures recent variability/risk</w:t>
            </w:r>
          </w:p>
        </w:tc>
      </w:tr>
      <w:tr>
        <w:tc>
          <w:tcPr>
            <w:tcW w:type="dxa" w:w="3312"/>
          </w:tcPr>
          <w:p>
            <w:r>
              <w:t>RSI_14</w:t>
            </w:r>
          </w:p>
        </w:tc>
        <w:tc>
          <w:tcPr>
            <w:tcW w:type="dxa" w:w="3312"/>
          </w:tcPr>
          <w:p>
            <w:r>
              <w:t>14-period Relative Strength Index</w:t>
            </w:r>
          </w:p>
        </w:tc>
        <w:tc>
          <w:tcPr>
            <w:tcW w:type="dxa" w:w="3312"/>
          </w:tcPr>
          <w:p>
            <w:r>
              <w:t>Momentum/market-condition information</w:t>
            </w:r>
          </w:p>
        </w:tc>
      </w:tr>
      <w:tr>
        <w:tc>
          <w:tcPr>
            <w:tcW w:type="dxa" w:w="3312"/>
          </w:tcPr>
          <w:p>
            <w:r>
              <w:t>MACD</w:t>
            </w:r>
          </w:p>
        </w:tc>
        <w:tc>
          <w:tcPr>
            <w:tcW w:type="dxa" w:w="3312"/>
          </w:tcPr>
          <w:p>
            <w:r>
              <w:t>Difference between 12- and 26-period exponential moving averages</w:t>
            </w:r>
          </w:p>
        </w:tc>
        <w:tc>
          <w:tcPr>
            <w:tcW w:type="dxa" w:w="3312"/>
          </w:tcPr>
          <w:p>
            <w:r>
              <w:t>Trend/momentum information</w:t>
            </w:r>
          </w:p>
        </w:tc>
      </w:tr>
      <w:tr>
        <w:tc>
          <w:tcPr>
            <w:tcW w:type="dxa" w:w="3312"/>
          </w:tcPr>
          <w:p>
            <w:r>
              <w:t>MACD_Signal</w:t>
            </w:r>
          </w:p>
        </w:tc>
        <w:tc>
          <w:tcPr>
            <w:tcW w:type="dxa" w:w="3312"/>
          </w:tcPr>
          <w:p>
            <w:r>
              <w:t>9-period exponential moving average of MACD</w:t>
            </w:r>
          </w:p>
        </w:tc>
        <w:tc>
          <w:tcPr>
            <w:tcW w:type="dxa" w:w="3312"/>
          </w:tcPr>
          <w:p>
            <w:r>
              <w:t>Additional momentum/trend information</w:t>
            </w:r>
          </w:p>
        </w:tc>
      </w:tr>
    </w:tbl>
    <w:p>
      <w:pPr>
        <w:spacing w:after="120" w:line="259" w:lineRule="auto"/>
      </w:pPr>
      <w:r>
        <w:t>Because rolling indicators require previous observations, rows with unavailable indicator values at the beginning of the series were removed after feature calculation. The final feature-engineered datasets were then saved as:</w:t>
      </w:r>
    </w:p>
    <w:p>
      <w:pPr>
        <w:pStyle w:val="ListBullet"/>
        <w:spacing w:after="60"/>
      </w:pPr>
      <w:r>
        <w:t>data/processed/VNQ_features.csv</w:t>
      </w:r>
    </w:p>
    <w:p>
      <w:pPr>
        <w:pStyle w:val="ListBullet"/>
        <w:spacing w:after="60"/>
      </w:pPr>
      <w:r>
        <w:t>data/processed/XLRE_features.csv</w:t>
      </w:r>
    </w:p>
    <w:p>
      <w:pPr>
        <w:pStyle w:val="ListBullet"/>
        <w:spacing w:after="60"/>
      </w:pPr>
      <w:r>
        <w:t>data/processed/IYR_features.csv</w:t>
      </w:r>
    </w:p>
    <w:p>
      <w:pPr>
        <w:pStyle w:val="Heading1"/>
      </w:pPr>
      <w:r>
        <w:t>8. Week 1 Outputs</w:t>
      </w:r>
    </w:p>
    <w:p>
      <w:pPr>
        <w:spacing w:after="120" w:line="259" w:lineRule="auto"/>
      </w:pPr>
      <w:r>
        <w:t>The following project components were completed and stored in the rl_reit_trader project directory: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Component</w:t>
            </w:r>
          </w:p>
        </w:tc>
        <w:tc>
          <w:tcPr>
            <w:tcW w:type="dxa" w:w="4968"/>
            <w:shd w:fill="D9EAF7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Python environment and required libraries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Programmatic data collection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Raw VNQ / XLRE / IYR datasets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Exploratory data analysis script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Data cleaning script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Cleaned datasets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Feature engineering script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Feature-engineered datasets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Week 1 backup</w:t>
            </w:r>
          </w:p>
        </w:tc>
        <w:tc>
          <w:tcPr>
            <w:tcW w:type="dxa" w:w="4968"/>
          </w:tcPr>
          <w:p>
            <w:r>
              <w:t>Created as a separate ZIP backup during development</w:t>
            </w:r>
          </w:p>
        </w:tc>
      </w:tr>
    </w:tbl>
    <w:p>
      <w:pPr>
        <w:pStyle w:val="Heading1"/>
      </w:pPr>
      <w:r>
        <w:t>9. Project Structure After Week 1</w:t>
      </w:r>
    </w:p>
    <w:p>
      <w:pPr>
        <w:spacing w:after="120" w:line="259" w:lineRule="auto"/>
      </w:pPr>
      <w:r>
        <w:t>The project was organized so that raw data, processed data and source code remain clearly separated:</w:t>
      </w:r>
    </w:p>
    <w:p>
      <w:r>
        <w:rPr>
          <w:rFonts w:ascii="Consolas" w:hAnsi="Consolas"/>
          <w:sz w:val="18"/>
        </w:rPr>
        <w:t>rl_reit_trader/</w:t>
        <w:br/>
        <w:t>├── data/</w:t>
        <w:br/>
        <w:t>│   ├── raw/</w:t>
        <w:br/>
        <w:t>│   │   ├── VNQ.csv</w:t>
        <w:br/>
        <w:t>│   │   ├── XLRE.csv</w:t>
        <w:br/>
        <w:t>│   │   └── IYR.csv</w:t>
        <w:br/>
        <w:t>│   └── processed/</w:t>
        <w:br/>
        <w:t>│       ├── VNQ_clean.csv</w:t>
        <w:br/>
        <w:t>│       ├── VNQ_features.csv</w:t>
        <w:br/>
        <w:t>│       ├── XLRE_clean.csv</w:t>
        <w:br/>
        <w:t>│       ├── XLRE_features.csv</w:t>
        <w:br/>
        <w:t>│       ├── IYR_clean.csv</w:t>
        <w:br/>
        <w:t>│       └── IYR_features.csv</w:t>
        <w:br/>
        <w:t>└── src/</w:t>
        <w:br/>
        <w:t xml:space="preserve">    ├── data_collection.py</w:t>
        <w:br/>
        <w:t xml:space="preserve">    ├── data_exploration.py</w:t>
        <w:br/>
        <w:t xml:space="preserve">    ├── data_cleaning.py</w:t>
        <w:br/>
        <w:t xml:space="preserve">    └── feature_engineering.py</w:t>
      </w:r>
    </w:p>
    <w:p>
      <w:pPr>
        <w:pStyle w:val="Heading1"/>
      </w:pPr>
      <w:r>
        <w:t>10. Discussion and Limitations</w:t>
      </w:r>
    </w:p>
    <w:p>
      <w:pPr>
        <w:spacing w:after="120" w:line="259" w:lineRule="auto"/>
      </w:pPr>
      <w:r>
        <w:t>Week 1 establishes the data foundation for the reinforcement-learning system, but it does not yet demonstrate that an agent can trade profitably. No trading policy, reward function, DQN model or out-of-sample backtest was implemented in this week.</w:t>
      </w:r>
    </w:p>
    <w:p>
      <w:pPr>
        <w:spacing w:after="120" w:line="259" w:lineRule="auto"/>
      </w:pPr>
      <w:r>
        <w:t>The project brief also identifies optional macroeconomic data from FRED as a possible enhancement. That optional component was not required to complete the core Week 1 pipeline and was therefore not included in this submission.</w:t>
      </w:r>
    </w:p>
    <w:p>
      <w:pPr>
        <w:spacing w:after="120" w:line="259" w:lineRule="auto"/>
      </w:pPr>
      <w:r>
        <w:t>The eventual system will remain a simulated academic exercise. The project brief explicitly states that the system must not be connected to a real brokerage account or used to invest real money.</w:t>
      </w:r>
    </w:p>
    <w:p>
      <w:pPr>
        <w:pStyle w:val="Heading1"/>
      </w:pPr>
      <w:r>
        <w:t>11. Conclusion</w:t>
      </w:r>
    </w:p>
    <w:p>
      <w:pPr>
        <w:spacing w:after="120" w:line="259" w:lineRule="auto"/>
      </w:pPr>
      <w:r>
        <w:t>Week 1 of the RL-REIT project was completed successfully. Historical market data for VNQ, XLRE and IYR was acquired programmatically, inspected, cleaned and transformed into feature-engineered datasets. The resulting data pipeline provides the foundation required for the next stage of the project.</w:t>
      </w:r>
    </w:p>
    <w:p>
      <w:pPr>
        <w:spacing w:after="120" w:line="259" w:lineRule="auto"/>
      </w:pPr>
      <w:r>
        <w:t>The next stage, Week 2, will focus on building and validating the custom Gymnasium-style simulated trading environment. This environment will define the state representation, Buy/Sell/Hold action space, transaction costs, position sizing and reward mechanism before the DQN agent is introduced in Week 3.</w:t>
      </w:r>
    </w:p>
    <w:p>
      <w:pPr>
        <w:pStyle w:val="Heading1"/>
      </w:pPr>
      <w:r>
        <w:t>12. Reference to the Project Brief</w:t>
      </w:r>
    </w:p>
    <w:p>
      <w:pPr>
        <w:spacing w:after="120" w:line="259" w:lineRule="auto"/>
      </w:pPr>
      <w:r>
        <w:t>This Week 1 report is based on the RL-REIT Project Documentation supplied for the assignment. The brief defines the project as a Deep Reinforcement Learning agent for Real Estate ETF trading, specifies the Week 1 data and feature objectives, and requires raw data to be kept separate from processed data.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RL-REIT Project — Week 1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