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内推奖励与渠道归属管理办法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内推奖励与渠道归属管理办法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适用范围：全技术岗内推与渠道协作</w:t>
        <w:br/>
      </w:r>
      <w:r>
        <w:rPr>
          <w:rFonts w:eastAsia="等线" w:ascii="Arial" w:cs="Arial" w:hAnsi="Arial"/>
          <w:i w:val="true"/>
          <w:color w:val="646a73"/>
          <w:sz w:val="22"/>
        </w:rPr>
        <w:t>版本：v1.0 | 归口：人力资源部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总则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为规范员工内推行为、明确渠道归属与奖励发放，保障招聘公平，特制定本办法。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内推奖励标准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内推候选人成功入职并转正后，推荐人可获得以下奖励（税前）：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职级档位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奖励金额（元）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发放条件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P4-P5 初级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转正满 1 个月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P6-P7 中级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转正满 1 个月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P8 及以上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转正满 3 个月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发放说明：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奖励随转正后次月薪资一并发放，须完成 HR 系统内推关系确认。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候选人试用期内离职的，不予发放；转正后 1 个月内主动离职的，公司可追回已发奖励。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 渠道归属原则</w:t>
      </w:r>
      <w:bookmarkEnd w:id="3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同一候选人 </w:t>
      </w:r>
      <w:r>
        <w:rPr>
          <w:rFonts w:eastAsia="等线" w:ascii="Arial" w:cs="Arial" w:hAnsi="Arial"/>
          <w:b w:val="true"/>
          <w:sz w:val="22"/>
        </w:rPr>
        <w:t>90 天内</w:t>
      </w:r>
      <w:r>
        <w:rPr>
          <w:rFonts w:eastAsia="等线" w:ascii="Arial" w:cs="Arial" w:hAnsi="Arial"/>
          <w:sz w:val="22"/>
        </w:rPr>
        <w:t xml:space="preserve">重复投递，以 </w:t>
      </w:r>
      <w:r>
        <w:rPr>
          <w:rFonts w:eastAsia="等线" w:ascii="Arial" w:cs="Arial" w:hAnsi="Arial"/>
          <w:b w:val="true"/>
          <w:sz w:val="22"/>
        </w:rPr>
        <w:t>最早有效渠道</w:t>
      </w:r>
      <w:r>
        <w:rPr>
          <w:rFonts w:eastAsia="等线" w:ascii="Arial" w:cs="Arial" w:hAnsi="Arial"/>
          <w:sz w:val="22"/>
        </w:rPr>
        <w:t>归属为准。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内推与猎头冲突时，以 </w:t>
      </w:r>
      <w:r>
        <w:rPr>
          <w:rFonts w:eastAsia="等线" w:ascii="Arial" w:cs="Arial" w:hAnsi="Arial"/>
          <w:b w:val="true"/>
          <w:sz w:val="22"/>
        </w:rPr>
        <w:t>内推时间戳优先</w:t>
      </w:r>
      <w:r>
        <w:rPr>
          <w:rFonts w:eastAsia="等线" w:ascii="Arial" w:cs="Arial" w:hAnsi="Arial"/>
          <w:sz w:val="22"/>
        </w:rPr>
        <w:t>；争议由 HRD 在 3 个工作日内裁定。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所有简历须录入 ATS，禁止面试官私人邮箱收简历不入库。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4. 禁止行为</w:t>
      </w:r>
      <w:bookmarkEnd w:id="4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禁止伪造内推关系、冒名推荐。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禁止向候选人索取回扣或任何形式利益输送。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禁止绕过 ATS 系统私下流转简历、事后补录内推关系。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5. 申诉与复核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对渠道归属或奖励金额有异议的，可在发放通知送达后 </w:t>
      </w:r>
      <w:r>
        <w:rPr>
          <w:rFonts w:eastAsia="等线" w:ascii="Arial" w:cs="Arial" w:hAnsi="Arial"/>
          <w:b w:val="true"/>
          <w:sz w:val="22"/>
        </w:rPr>
        <w:t>7 个工作日内</w:t>
      </w:r>
      <w:r>
        <w:rPr>
          <w:rFonts w:eastAsia="等线" w:ascii="Arial" w:cs="Arial" w:hAnsi="Arial"/>
          <w:sz w:val="22"/>
        </w:rPr>
        <w:t>向 HRBP 提交书面申诉；HR 与财务联合复核，</w:t>
      </w:r>
      <w:r>
        <w:rPr>
          <w:rFonts w:eastAsia="等线" w:ascii="Arial" w:cs="Arial" w:hAnsi="Arial"/>
          <w:b w:val="true"/>
          <w:sz w:val="22"/>
        </w:rPr>
        <w:t>10 个工作日内</w:t>
      </w:r>
      <w:r>
        <w:rPr>
          <w:rFonts w:eastAsia="等线" w:ascii="Arial" w:cs="Arial" w:hAnsi="Arial"/>
          <w:sz w:val="22"/>
        </w:rPr>
        <w:t>书面回复。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6. 附则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本办法自发布之日起执行；与既有内推政策冲突的，以本办法为准。HR 每半年组织一次复盘，根据入职率与渠道 ROI 调整奖励档位（须报 HRD 审批）。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72400">
    <w:lvl>
      <w:numFmt w:val="bullet"/>
      <w:suff w:val="tab"/>
      <w:lvlText w:val="•"/>
      <w:rPr>
        <w:color w:val="3370ff"/>
      </w:rPr>
    </w:lvl>
  </w:abstractNum>
  <w:abstractNum w:abstractNumId="272401">
    <w:lvl>
      <w:numFmt w:val="bullet"/>
      <w:suff w:val="tab"/>
      <w:lvlText w:val="•"/>
      <w:rPr>
        <w:color w:val="3370ff"/>
      </w:rPr>
    </w:lvl>
  </w:abstractNum>
  <w:abstractNum w:abstractNumId="272402">
    <w:lvl>
      <w:numFmt w:val="bullet"/>
      <w:suff w:val="tab"/>
      <w:lvlText w:val="•"/>
      <w:rPr>
        <w:color w:val="3370ff"/>
      </w:rPr>
    </w:lvl>
  </w:abstractNum>
  <w:abstractNum w:abstractNumId="272403">
    <w:lvl>
      <w:numFmt w:val="bullet"/>
      <w:suff w:val="tab"/>
      <w:lvlText w:val="•"/>
      <w:rPr>
        <w:color w:val="3370ff"/>
      </w:rPr>
    </w:lvl>
  </w:abstractNum>
  <w:abstractNum w:abstractNumId="272404">
    <w:lvl>
      <w:numFmt w:val="bullet"/>
      <w:suff w:val="tab"/>
      <w:lvlText w:val="•"/>
      <w:rPr>
        <w:color w:val="3370ff"/>
      </w:rPr>
    </w:lvl>
  </w:abstractNum>
  <w:abstractNum w:abstractNumId="272405">
    <w:lvl>
      <w:numFmt w:val="bullet"/>
      <w:suff w:val="tab"/>
      <w:lvlText w:val="•"/>
      <w:rPr>
        <w:color w:val="3370ff"/>
      </w:rPr>
    </w:lvl>
  </w:abstractNum>
  <w:abstractNum w:abstractNumId="272406">
    <w:lvl>
      <w:numFmt w:val="bullet"/>
      <w:suff w:val="tab"/>
      <w:lvlText w:val="•"/>
      <w:rPr>
        <w:color w:val="3370ff"/>
      </w:rPr>
    </w:lvl>
  </w:abstractNum>
  <w:abstractNum w:abstractNumId="272407">
    <w:lvl>
      <w:numFmt w:val="bullet"/>
      <w:suff w:val="tab"/>
      <w:lvlText w:val="•"/>
      <w:rPr>
        <w:color w:val="3370ff"/>
      </w:rPr>
    </w:lvl>
  </w:abstractNum>
  <w:num w:numId="1">
    <w:abstractNumId w:val="272400"/>
  </w:num>
  <w:num w:numId="2">
    <w:abstractNumId w:val="272401"/>
  </w:num>
  <w:num w:numId="3">
    <w:abstractNumId w:val="272402"/>
  </w:num>
  <w:num w:numId="4">
    <w:abstractNumId w:val="272403"/>
  </w:num>
  <w:num w:numId="5">
    <w:abstractNumId w:val="272404"/>
  </w:num>
  <w:num w:numId="6">
    <w:abstractNumId w:val="272405"/>
  </w:num>
  <w:num w:numId="7">
    <w:abstractNumId w:val="272406"/>
  </w:num>
  <w:num w:numId="8">
    <w:abstractNumId w:val="27240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2026-06-28T05:54:15Z</dcterms:created>
  <dc:creator>Apache POI</dc:creator>
</cp:coreProperties>
</file>