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CB2A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Inside Sets — Design Framework (Before Questions)</w:t>
      </w:r>
    </w:p>
    <w:p w14:paraId="2AFDEAFE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Guiding Principles (LOCKED)</w:t>
      </w:r>
    </w:p>
    <w:p w14:paraId="6A2CD8DB" w14:textId="77777777" w:rsidR="0077065D" w:rsidRPr="0061352D" w:rsidRDefault="0077065D" w:rsidP="0077065D">
      <w:r w:rsidRPr="0061352D">
        <w:t>These principles apply to all Inside Set questions and scope language:</w:t>
      </w:r>
    </w:p>
    <w:p w14:paraId="55882771" w14:textId="77777777" w:rsidR="0077065D" w:rsidRPr="0061352D" w:rsidRDefault="0077065D" w:rsidP="0077065D">
      <w:r w:rsidRPr="0061352D">
        <w:rPr>
          <w:b/>
          <w:bCs/>
        </w:rPr>
        <w:t>Customer access drives productivity</w:t>
      </w:r>
      <w:r w:rsidRPr="0061352D">
        <w:br/>
        <w:t>→ Contractors cannot control completion without customer response.</w:t>
      </w:r>
    </w:p>
    <w:p w14:paraId="635E0ABE" w14:textId="77777777" w:rsidR="0077065D" w:rsidRPr="0061352D" w:rsidRDefault="0077065D" w:rsidP="0077065D">
      <w:r w:rsidRPr="0061352D">
        <w:rPr>
          <w:b/>
          <w:bCs/>
        </w:rPr>
        <w:t>Route closure ≠ 100% installs</w:t>
      </w:r>
      <w:r w:rsidRPr="0061352D">
        <w:br/>
        <w:t>→ Route completion must explicitly account for:</w:t>
      </w:r>
    </w:p>
    <w:p w14:paraId="29CEFC0F" w14:textId="77777777" w:rsidR="0077065D" w:rsidRPr="0061352D" w:rsidRDefault="0077065D" w:rsidP="0077065D">
      <w:pPr>
        <w:numPr>
          <w:ilvl w:val="0"/>
          <w:numId w:val="1"/>
        </w:numPr>
      </w:pPr>
      <w:r w:rsidRPr="0061352D">
        <w:t>No response</w:t>
      </w:r>
    </w:p>
    <w:p w14:paraId="04A8878C" w14:textId="77777777" w:rsidR="0077065D" w:rsidRPr="0061352D" w:rsidRDefault="0077065D" w:rsidP="0077065D">
      <w:pPr>
        <w:numPr>
          <w:ilvl w:val="0"/>
          <w:numId w:val="1"/>
        </w:numPr>
      </w:pPr>
      <w:r w:rsidRPr="0061352D">
        <w:t>Refusals</w:t>
      </w:r>
    </w:p>
    <w:p w14:paraId="5064ACE5" w14:textId="77777777" w:rsidR="0077065D" w:rsidRPr="0061352D" w:rsidRDefault="0077065D" w:rsidP="0077065D">
      <w:pPr>
        <w:numPr>
          <w:ilvl w:val="0"/>
          <w:numId w:val="1"/>
        </w:numPr>
      </w:pPr>
      <w:r w:rsidRPr="0061352D">
        <w:t>Vacant properties</w:t>
      </w:r>
    </w:p>
    <w:p w14:paraId="4149BF62" w14:textId="77777777" w:rsidR="0077065D" w:rsidRPr="0061352D" w:rsidRDefault="0077065D" w:rsidP="0077065D">
      <w:pPr>
        <w:numPr>
          <w:ilvl w:val="0"/>
          <w:numId w:val="1"/>
        </w:numPr>
      </w:pPr>
      <w:r w:rsidRPr="0061352D">
        <w:t>Safety or access constraints</w:t>
      </w:r>
    </w:p>
    <w:p w14:paraId="453FE58C" w14:textId="77777777" w:rsidR="0077065D" w:rsidRPr="0061352D" w:rsidRDefault="0077065D" w:rsidP="0077065D">
      <w:r w:rsidRPr="0061352D">
        <w:rPr>
          <w:b/>
          <w:bCs/>
        </w:rPr>
        <w:t>RTU/UIR still apply, but:</w:t>
      </w:r>
      <w:r w:rsidRPr="0061352D">
        <w:br/>
        <w:t xml:space="preserve">→ Many Inside Set issues </w:t>
      </w:r>
      <w:proofErr w:type="gramStart"/>
      <w:r w:rsidRPr="0061352D">
        <w:t>are</w:t>
      </w:r>
      <w:proofErr w:type="gramEnd"/>
      <w:r w:rsidRPr="0061352D">
        <w:t xml:space="preserve"> </w:t>
      </w:r>
      <w:proofErr w:type="gramStart"/>
      <w:r w:rsidRPr="0061352D">
        <w:t>customer-side</w:t>
      </w:r>
      <w:proofErr w:type="gramEnd"/>
      <w:r w:rsidRPr="0061352D">
        <w:t xml:space="preserve">, </w:t>
      </w:r>
      <w:proofErr w:type="gramStart"/>
      <w:r w:rsidRPr="0061352D">
        <w:t>not</w:t>
      </w:r>
      <w:proofErr w:type="gramEnd"/>
      <w:r w:rsidRPr="0061352D">
        <w:t xml:space="preserve"> infrastructure-side.</w:t>
      </w:r>
      <w:r w:rsidRPr="0061352D">
        <w:br/>
        <w:t>→ These must be categorized separately from PIT RTUs.</w:t>
      </w:r>
    </w:p>
    <w:p w14:paraId="3F56089F" w14:textId="77777777" w:rsidR="0077065D" w:rsidRPr="0061352D" w:rsidRDefault="0077065D" w:rsidP="0077065D">
      <w:r w:rsidRPr="0061352D">
        <w:rPr>
          <w:b/>
          <w:bCs/>
        </w:rPr>
        <w:t>Appointment-based work is probabilistic, not linear</w:t>
      </w:r>
      <w:r w:rsidRPr="0061352D">
        <w:br/>
        <w:t>→ Expectations must be set accordingly in scope language.</w:t>
      </w:r>
    </w:p>
    <w:p w14:paraId="629590A7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Inside Sets Banner (Top of Section – Required)</w:t>
      </w:r>
    </w:p>
    <w:p w14:paraId="1EDB4F28" w14:textId="77777777" w:rsidR="0077065D" w:rsidRPr="0061352D" w:rsidRDefault="0077065D" w:rsidP="0077065D">
      <w:r w:rsidRPr="0061352D">
        <w:t>Indoor meter installations are dependent on customer response and access. Route completion, productivity, and progression should account for no-response, refusals, and access limitations beyond the contractor’s control.</w:t>
      </w:r>
    </w:p>
    <w:p w14:paraId="5E786801" w14:textId="77777777" w:rsidR="0077065D" w:rsidRPr="0061352D" w:rsidRDefault="00000000" w:rsidP="0077065D">
      <w:r>
        <w:pict w14:anchorId="46FEBE37">
          <v:rect id="_x0000_i1025" style="width:0;height:1.5pt" o:hralign="center" o:hrstd="t" o:hr="t" fillcolor="#a0a0a0" stroked="f"/>
        </w:pict>
      </w:r>
    </w:p>
    <w:p w14:paraId="4C3ACA3A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Inside Sets — Section I</w:t>
      </w:r>
    </w:p>
    <w:p w14:paraId="066CE113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Program Applicability &amp; Scale</w:t>
      </w:r>
    </w:p>
    <w:p w14:paraId="1A034CC1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I1) Inside Set Inclusion</w:t>
      </w:r>
    </w:p>
    <w:p w14:paraId="0BA43A18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Does this project include indoor water meter installations?</w:t>
      </w:r>
    </w:p>
    <w:p w14:paraId="3655641D" w14:textId="77777777" w:rsidR="0077065D" w:rsidRPr="0061352D" w:rsidRDefault="0077065D" w:rsidP="0077065D">
      <w:r w:rsidRPr="0061352D">
        <w:t>☐ Yes — majority of meters</w:t>
      </w:r>
      <w:r w:rsidRPr="0061352D">
        <w:br/>
        <w:t>☐ Yes — limited subset</w:t>
      </w:r>
      <w:r w:rsidRPr="0061352D">
        <w:br/>
      </w:r>
      <w:r w:rsidRPr="0061352D">
        <w:lastRenderedPageBreak/>
        <w:t>☐ No</w:t>
      </w:r>
      <w:r w:rsidRPr="0061352D">
        <w:br/>
        <w:t>☐ Not sure</w:t>
      </w:r>
    </w:p>
    <w:p w14:paraId="04EE8BA0" w14:textId="77777777" w:rsidR="0077065D" w:rsidRPr="0061352D" w:rsidRDefault="0077065D" w:rsidP="0077065D">
      <w:r w:rsidRPr="0061352D">
        <w:rPr>
          <w:b/>
          <w:bCs/>
        </w:rPr>
        <w:t>Effect</w:t>
      </w:r>
    </w:p>
    <w:p w14:paraId="4E6F197E" w14:textId="77777777" w:rsidR="0077065D" w:rsidRPr="0061352D" w:rsidRDefault="0077065D" w:rsidP="0077065D">
      <w:pPr>
        <w:numPr>
          <w:ilvl w:val="0"/>
          <w:numId w:val="2"/>
        </w:numPr>
      </w:pPr>
      <w:r w:rsidRPr="0061352D">
        <w:t>If “No” → Entire Inside Set section suppressed</w:t>
      </w:r>
    </w:p>
    <w:p w14:paraId="1731E299" w14:textId="77777777" w:rsidR="0077065D" w:rsidRPr="0061352D" w:rsidRDefault="0077065D" w:rsidP="0077065D">
      <w:pPr>
        <w:numPr>
          <w:ilvl w:val="0"/>
          <w:numId w:val="2"/>
        </w:numPr>
      </w:pPr>
      <w:r w:rsidRPr="0061352D">
        <w:t>If “Limited subset” → Lower productivity assumptions + special routing</w:t>
      </w:r>
    </w:p>
    <w:p w14:paraId="6FCEC9AB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6B1B86E6" w14:textId="77777777" w:rsidR="0077065D" w:rsidRPr="0061352D" w:rsidRDefault="00000000" w:rsidP="0077065D">
      <w:r>
        <w:pict w14:anchorId="35D4314D">
          <v:rect id="_x0000_i1026" style="width:0;height:1.5pt" o:hralign="center" o:hrstd="t" o:hr="t" fillcolor="#a0a0a0" stroked="f"/>
        </w:pict>
      </w:r>
    </w:p>
    <w:p w14:paraId="1A132768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I2) Estimated Inside Set Volume</w:t>
      </w:r>
    </w:p>
    <w:p w14:paraId="6BDB9260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Approximately what percentage of total meters are indoor installations?</w:t>
      </w:r>
    </w:p>
    <w:p w14:paraId="618B65A8" w14:textId="77777777" w:rsidR="0077065D" w:rsidRPr="0061352D" w:rsidRDefault="0077065D" w:rsidP="0077065D">
      <w:r w:rsidRPr="0061352D">
        <w:t>☐ &lt;10%</w:t>
      </w:r>
      <w:r w:rsidRPr="0061352D">
        <w:br/>
        <w:t>☐ 10–25%</w:t>
      </w:r>
      <w:r w:rsidRPr="0061352D">
        <w:br/>
        <w:t>☐ 25–50%</w:t>
      </w:r>
      <w:r w:rsidRPr="0061352D">
        <w:br/>
        <w:t>☐ &gt;50%</w:t>
      </w:r>
      <w:r w:rsidRPr="0061352D">
        <w:br/>
        <w:t>☐ Unknown</w:t>
      </w:r>
    </w:p>
    <w:p w14:paraId="3BC7D6BE" w14:textId="77777777" w:rsidR="0077065D" w:rsidRPr="0061352D" w:rsidRDefault="0077065D" w:rsidP="0077065D">
      <w:r w:rsidRPr="0061352D">
        <w:rPr>
          <w:b/>
          <w:bCs/>
        </w:rPr>
        <w:t>Guidance (collapsed)</w:t>
      </w:r>
      <w:r w:rsidRPr="0061352D">
        <w:br/>
        <w:t>Higher indoor percentages materially impact scheduling, staffing, and customer coordination.</w:t>
      </w:r>
    </w:p>
    <w:p w14:paraId="7C860266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3C16F8EB" w14:textId="77777777" w:rsidR="0077065D" w:rsidRPr="0061352D" w:rsidRDefault="00000000" w:rsidP="0077065D">
      <w:r>
        <w:pict w14:anchorId="28743157">
          <v:rect id="_x0000_i1027" style="width:0;height:1.5pt" o:hralign="center" o:hrstd="t" o:hr="t" fillcolor="#a0a0a0" stroked="f"/>
        </w:pict>
      </w:r>
    </w:p>
    <w:p w14:paraId="58581E92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I3) Property Types</w:t>
      </w:r>
    </w:p>
    <w:p w14:paraId="4799A0A7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What types of properties contain indoor meters? (Multi-select)</w:t>
      </w:r>
    </w:p>
    <w:p w14:paraId="6BB509CC" w14:textId="77777777" w:rsidR="0077065D" w:rsidRPr="0061352D" w:rsidRDefault="0077065D" w:rsidP="0077065D">
      <w:r w:rsidRPr="0061352D">
        <w:t>☐ Single-family residential</w:t>
      </w:r>
      <w:r w:rsidRPr="0061352D">
        <w:br/>
        <w:t xml:space="preserve">☐ </w:t>
      </w:r>
      <w:proofErr w:type="gramStart"/>
      <w:r w:rsidRPr="0061352D">
        <w:t>Multi-family</w:t>
      </w:r>
      <w:proofErr w:type="gramEnd"/>
      <w:r w:rsidRPr="0061352D">
        <w:t xml:space="preserve"> residential</w:t>
      </w:r>
      <w:r w:rsidRPr="0061352D">
        <w:br/>
        <w:t>☐ Commercial</w:t>
      </w:r>
      <w:r w:rsidRPr="0061352D">
        <w:br/>
        <w:t>☐ Mixed-use</w:t>
      </w:r>
      <w:r w:rsidRPr="0061352D">
        <w:br/>
        <w:t>☐ Institutional (schools, hospitals, etc.)</w:t>
      </w:r>
      <w:r w:rsidRPr="0061352D">
        <w:br/>
        <w:t>☐ All / predominantly indoor system</w:t>
      </w:r>
    </w:p>
    <w:p w14:paraId="1B45BCDD" w14:textId="77777777" w:rsidR="0077065D" w:rsidRPr="0061352D" w:rsidRDefault="0077065D" w:rsidP="0077065D">
      <w:r w:rsidRPr="0061352D">
        <w:rPr>
          <w:b/>
          <w:bCs/>
        </w:rPr>
        <w:t>Effect</w:t>
      </w:r>
      <w:r w:rsidRPr="0061352D">
        <w:br/>
        <w:t>MDU + commercial → separate scheduling logic later</w:t>
      </w:r>
    </w:p>
    <w:p w14:paraId="5D6B3789" w14:textId="77777777" w:rsidR="0077065D" w:rsidRPr="0061352D" w:rsidRDefault="0077065D" w:rsidP="0077065D">
      <w:r w:rsidRPr="0061352D">
        <w:rPr>
          <w:b/>
          <w:bCs/>
        </w:rPr>
        <w:lastRenderedPageBreak/>
        <w:t>Notes (optional)</w:t>
      </w:r>
    </w:p>
    <w:p w14:paraId="753E6705" w14:textId="77777777" w:rsidR="0077065D" w:rsidRPr="0061352D" w:rsidRDefault="00000000" w:rsidP="0077065D">
      <w:r>
        <w:pict w14:anchorId="0C958C55">
          <v:rect id="_x0000_i1028" style="width:0;height:1.5pt" o:hralign="center" o:hrstd="t" o:hr="t" fillcolor="#a0a0a0" stroked="f"/>
        </w:pict>
      </w:r>
    </w:p>
    <w:p w14:paraId="76032C5D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Inside Sets — Section II</w:t>
      </w:r>
    </w:p>
    <w:p w14:paraId="72C9EE3C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Customer Scheduling &amp; Appointments</w:t>
      </w:r>
    </w:p>
    <w:p w14:paraId="47C556C7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I4) Scheduling Responsibility</w:t>
      </w:r>
    </w:p>
    <w:p w14:paraId="789EE82E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Who is responsible for customer outreach and appointment scheduling for indoor meter installations?</w:t>
      </w:r>
    </w:p>
    <w:p w14:paraId="033E2F64" w14:textId="77777777" w:rsidR="0077065D" w:rsidRPr="0061352D" w:rsidRDefault="0077065D" w:rsidP="0077065D">
      <w:r w:rsidRPr="0061352D">
        <w:t>☐ Utility-led (contractor supports)</w:t>
      </w:r>
      <w:r w:rsidRPr="0061352D">
        <w:br/>
        <w:t>☐ Contractor-led (utility supports)</w:t>
      </w:r>
      <w:r w:rsidRPr="0061352D">
        <w:br/>
        <w:t>☐ Shared responsibility</w:t>
      </w:r>
      <w:r w:rsidRPr="0061352D">
        <w:br/>
        <w:t>☐ Not defined</w:t>
      </w:r>
    </w:p>
    <w:p w14:paraId="03ACBA6A" w14:textId="77777777" w:rsidR="0077065D" w:rsidRPr="0061352D" w:rsidRDefault="0077065D" w:rsidP="0077065D">
      <w:r w:rsidRPr="0061352D">
        <w:rPr>
          <w:b/>
          <w:bCs/>
        </w:rPr>
        <w:t>Best practice (collapsed)</w:t>
      </w:r>
    </w:p>
    <w:p w14:paraId="147838FF" w14:textId="77777777" w:rsidR="0077065D" w:rsidRPr="0061352D" w:rsidRDefault="0077065D" w:rsidP="0077065D">
      <w:pPr>
        <w:numPr>
          <w:ilvl w:val="0"/>
          <w:numId w:val="3"/>
        </w:numPr>
      </w:pPr>
      <w:r w:rsidRPr="0061352D">
        <w:t>Utility sends an initial project announcement letter on utility letterhead.</w:t>
      </w:r>
    </w:p>
    <w:p w14:paraId="632F59DB" w14:textId="77777777" w:rsidR="0077065D" w:rsidRPr="0061352D" w:rsidRDefault="0077065D" w:rsidP="0077065D">
      <w:pPr>
        <w:numPr>
          <w:ilvl w:val="0"/>
          <w:numId w:val="3"/>
        </w:numPr>
      </w:pPr>
      <w:r w:rsidRPr="0061352D">
        <w:t>Contractor manages appointment requests and follow-up attempts (mail/phone/text as defined).</w:t>
      </w:r>
    </w:p>
    <w:p w14:paraId="2A96FF3D" w14:textId="77777777" w:rsidR="0077065D" w:rsidRPr="0061352D" w:rsidRDefault="0077065D" w:rsidP="0077065D">
      <w:pPr>
        <w:numPr>
          <w:ilvl w:val="0"/>
          <w:numId w:val="3"/>
        </w:numPr>
      </w:pPr>
      <w:r w:rsidRPr="0061352D">
        <w:t>After a defined non-response threshold, accounts escalate to Utility Intervention Required (UIR).</w:t>
      </w:r>
    </w:p>
    <w:p w14:paraId="7DCA8CB1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5E8451B8" w14:textId="77777777" w:rsidR="0077065D" w:rsidRPr="0061352D" w:rsidRDefault="00000000" w:rsidP="0077065D">
      <w:r>
        <w:pict w14:anchorId="6035556B">
          <v:rect id="_x0000_i1029" style="width:0;height:1.5pt" o:hralign="center" o:hrstd="t" o:hr="t" fillcolor="#a0a0a0" stroked="f"/>
        </w:pict>
      </w:r>
    </w:p>
    <w:p w14:paraId="153FDD95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I4a) Outreach Sequence &amp; Touchpoints</w:t>
      </w:r>
    </w:p>
    <w:p w14:paraId="4E245985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What outreach sequence is required before an account is classified as no-response / escalated?</w:t>
      </w:r>
    </w:p>
    <w:p w14:paraId="638B2C97" w14:textId="77777777" w:rsidR="0077065D" w:rsidRPr="0061352D" w:rsidRDefault="0077065D" w:rsidP="0077065D">
      <w:r w:rsidRPr="0061352D">
        <w:t>☐ Utility letter + 1–2 contractor contacts</w:t>
      </w:r>
      <w:r w:rsidRPr="0061352D">
        <w:br/>
        <w:t>☐ Utility letter + 3–4 contractor contacts (recommended)</w:t>
      </w:r>
      <w:r w:rsidRPr="0061352D">
        <w:br/>
        <w:t>☐ Utility letter + 5+ contractor contacts</w:t>
      </w:r>
      <w:r w:rsidRPr="0061352D">
        <w:br/>
        <w:t>☐ Not defined</w:t>
      </w:r>
    </w:p>
    <w:p w14:paraId="6D3A7E8F" w14:textId="77777777" w:rsidR="0077065D" w:rsidRPr="0061352D" w:rsidRDefault="0077065D" w:rsidP="0077065D">
      <w:r w:rsidRPr="0061352D">
        <w:rPr>
          <w:b/>
          <w:bCs/>
        </w:rPr>
        <w:lastRenderedPageBreak/>
        <w:t>Best practice (collapsed)</w:t>
      </w:r>
      <w:r w:rsidRPr="0061352D">
        <w:br/>
        <w:t>Initial utility letter, then three mailed attempts with increasing urgency. Optional final door hanger may be used at additional cost.</w:t>
      </w:r>
    </w:p>
    <w:p w14:paraId="78162EC1" w14:textId="77777777" w:rsidR="0077065D" w:rsidRPr="0061352D" w:rsidRDefault="0077065D" w:rsidP="0077065D">
      <w:r w:rsidRPr="0061352D">
        <w:rPr>
          <w:b/>
          <w:bCs/>
        </w:rPr>
        <w:t>Cost note (collapsed)</w:t>
      </w:r>
      <w:r w:rsidRPr="0061352D">
        <w:br/>
        <w:t>Door hangers and in-person attempts add significant labor cost compared to mailed outreach.</w:t>
      </w:r>
    </w:p>
    <w:p w14:paraId="060C973B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2C126250" w14:textId="77777777" w:rsidR="0077065D" w:rsidRPr="0061352D" w:rsidRDefault="00000000" w:rsidP="0077065D">
      <w:r>
        <w:pict w14:anchorId="791AE114">
          <v:rect id="_x0000_i1030" style="width:0;height:1.5pt" o:hralign="center" o:hrstd="t" o:hr="t" fillcolor="#a0a0a0" stroked="f"/>
        </w:pict>
      </w:r>
    </w:p>
    <w:p w14:paraId="58527386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I4b) Contractor “Turn-Off Point”</w:t>
      </w:r>
    </w:p>
    <w:p w14:paraId="6E26BB10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After how many unsuccessful attempts should the contractor stop attempting and escalate the account?</w:t>
      </w:r>
    </w:p>
    <w:p w14:paraId="5EE3376B" w14:textId="77777777" w:rsidR="0077065D" w:rsidRPr="0061352D" w:rsidRDefault="0077065D" w:rsidP="0077065D">
      <w:r w:rsidRPr="0061352D">
        <w:t>☐ After a defined number of attempts</w:t>
      </w:r>
      <w:r w:rsidRPr="0061352D">
        <w:br/>
        <w:t>☐ After a defined time window (e.g., 30–60 days)</w:t>
      </w:r>
      <w:r w:rsidRPr="0061352D">
        <w:br/>
        <w:t>☐ Utility discretion</w:t>
      </w:r>
      <w:r w:rsidRPr="0061352D">
        <w:br/>
        <w:t>☐ Not defined</w:t>
      </w:r>
    </w:p>
    <w:p w14:paraId="4DD1DF35" w14:textId="77777777" w:rsidR="0077065D" w:rsidRPr="0061352D" w:rsidRDefault="0077065D" w:rsidP="0077065D">
      <w:r w:rsidRPr="0061352D">
        <w:rPr>
          <w:b/>
          <w:bCs/>
        </w:rPr>
        <w:t>Guidance (collapsed)</w:t>
      </w:r>
      <w:r w:rsidRPr="0061352D">
        <w:br/>
        <w:t>Contractors should not be expected to perform unlimited reattempts for non-responsive customers.</w:t>
      </w:r>
    </w:p>
    <w:p w14:paraId="076CDE35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76954495" w14:textId="77777777" w:rsidR="0077065D" w:rsidRPr="0061352D" w:rsidRDefault="00000000" w:rsidP="0077065D">
      <w:r>
        <w:pict w14:anchorId="1739BC19">
          <v:rect id="_x0000_i1031" style="width:0;height:1.5pt" o:hralign="center" o:hrstd="t" o:hr="t" fillcolor="#a0a0a0" stroked="f"/>
        </w:pict>
      </w:r>
    </w:p>
    <w:p w14:paraId="57750436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I4c) Utility Intervention Required (UIR) Actions</w:t>
      </w:r>
    </w:p>
    <w:p w14:paraId="3F2F5DAA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Once escalated to UIR, what actions may the utility use to secure access? (Multi-select)</w:t>
      </w:r>
    </w:p>
    <w:p w14:paraId="172918A1" w14:textId="77777777" w:rsidR="0077065D" w:rsidRPr="0061352D" w:rsidRDefault="0077065D" w:rsidP="0077065D">
      <w:r w:rsidRPr="0061352D">
        <w:t>☐ Utility-led outreach / official notice process</w:t>
      </w:r>
      <w:r w:rsidRPr="0061352D">
        <w:br/>
        <w:t>☐ Schedule appointment through utility channel</w:t>
      </w:r>
      <w:r w:rsidRPr="0061352D">
        <w:br/>
        <w:t>☐ Service shutoff / service hold procedures (where allowed)</w:t>
      </w:r>
      <w:r w:rsidRPr="0061352D">
        <w:br/>
        <w:t>☐ Fees/charges for non-compliance (where allowed)</w:t>
      </w:r>
      <w:r w:rsidRPr="0061352D">
        <w:br/>
        <w:t>☐ Case-by-case</w:t>
      </w:r>
      <w:r w:rsidRPr="0061352D">
        <w:br/>
        <w:t>☐ Not defined</w:t>
      </w:r>
    </w:p>
    <w:p w14:paraId="1EA2921C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5DCC09CC" w14:textId="77777777" w:rsidR="0077065D" w:rsidRPr="0061352D" w:rsidRDefault="00000000" w:rsidP="0077065D">
      <w:r>
        <w:lastRenderedPageBreak/>
        <w:pict w14:anchorId="1CF1BA11">
          <v:rect id="_x0000_i1032" style="width:0;height:1.5pt" o:hralign="center" o:hrstd="t" o:hr="t" fillcolor="#a0a0a0" stroked="f"/>
        </w:pict>
      </w:r>
    </w:p>
    <w:p w14:paraId="77A0B7D7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I5) Appointment Window Standard</w:t>
      </w:r>
    </w:p>
    <w:p w14:paraId="6BB9A00D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What appointment window structure will be used?</w:t>
      </w:r>
    </w:p>
    <w:p w14:paraId="4B3DF0C2" w14:textId="77777777" w:rsidR="0077065D" w:rsidRPr="0061352D" w:rsidRDefault="0077065D" w:rsidP="0077065D">
      <w:r w:rsidRPr="0061352D">
        <w:t>☐ 2-hour windows</w:t>
      </w:r>
      <w:r w:rsidRPr="0061352D">
        <w:br/>
        <w:t>☐ 4-hour windows (recommended)</w:t>
      </w:r>
      <w:r w:rsidRPr="0061352D">
        <w:br/>
        <w:t>☐ All-day windows</w:t>
      </w:r>
      <w:r w:rsidRPr="0061352D">
        <w:br/>
        <w:t>☐ Other / not defined</w:t>
      </w:r>
    </w:p>
    <w:p w14:paraId="224A1AD2" w14:textId="77777777" w:rsidR="0077065D" w:rsidRPr="0061352D" w:rsidRDefault="0077065D" w:rsidP="0077065D">
      <w:r w:rsidRPr="0061352D">
        <w:rPr>
          <w:b/>
          <w:bCs/>
        </w:rPr>
        <w:t>Best practice (collapsed)</w:t>
      </w:r>
      <w:r w:rsidRPr="0061352D">
        <w:br/>
        <w:t>2–</w:t>
      </w:r>
      <w:proofErr w:type="gramStart"/>
      <w:r w:rsidRPr="0061352D">
        <w:t>4 hour</w:t>
      </w:r>
      <w:proofErr w:type="gramEnd"/>
      <w:r w:rsidRPr="0061352D">
        <w:t xml:space="preserve"> windows balance customer convenience with route flexibility and allow crews to absorb cancellations.</w:t>
      </w:r>
    </w:p>
    <w:p w14:paraId="0FF3A3B0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10DB4FA9" w14:textId="77777777" w:rsidR="0077065D" w:rsidRPr="0061352D" w:rsidRDefault="00000000" w:rsidP="0077065D">
      <w:r>
        <w:pict w14:anchorId="007BCD63">
          <v:rect id="_x0000_i1033" style="width:0;height:1.5pt" o:hralign="center" o:hrstd="t" o:hr="t" fillcolor="#a0a0a0" stroked="f"/>
        </w:pict>
      </w:r>
    </w:p>
    <w:p w14:paraId="488BCD20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I6) Call Center &amp; Dispatch Capability</w:t>
      </w:r>
    </w:p>
    <w:p w14:paraId="36493073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Will contractor-provided call center and dispatch capability be required for indoor scheduling?</w:t>
      </w:r>
    </w:p>
    <w:p w14:paraId="30D46DDE" w14:textId="77777777" w:rsidR="0077065D" w:rsidRPr="0061352D" w:rsidRDefault="0077065D" w:rsidP="0077065D">
      <w:r w:rsidRPr="0061352D">
        <w:t>☐ Yes</w:t>
      </w:r>
      <w:r w:rsidRPr="0061352D">
        <w:br/>
        <w:t>☐ No</w:t>
      </w:r>
      <w:r w:rsidRPr="0061352D">
        <w:br/>
        <w:t>☐ Shared with utility</w:t>
      </w:r>
      <w:r w:rsidRPr="0061352D">
        <w:br/>
        <w:t>☐ Not sure / not defined</w:t>
      </w:r>
    </w:p>
    <w:p w14:paraId="60879911" w14:textId="77777777" w:rsidR="0077065D" w:rsidRPr="0061352D" w:rsidRDefault="0077065D" w:rsidP="0077065D">
      <w:r w:rsidRPr="0061352D">
        <w:rPr>
          <w:b/>
          <w:bCs/>
        </w:rPr>
        <w:t>Conditional follow-ups</w:t>
      </w:r>
    </w:p>
    <w:p w14:paraId="4D07FC96" w14:textId="77777777" w:rsidR="0077065D" w:rsidRPr="0061352D" w:rsidRDefault="0077065D" w:rsidP="0077065D">
      <w:pPr>
        <w:numPr>
          <w:ilvl w:val="0"/>
          <w:numId w:val="4"/>
        </w:numPr>
      </w:pPr>
      <w:r w:rsidRPr="0061352D">
        <w:t>Required hours of coverage</w:t>
      </w:r>
    </w:p>
    <w:p w14:paraId="4671F769" w14:textId="77777777" w:rsidR="0077065D" w:rsidRPr="0061352D" w:rsidRDefault="0077065D" w:rsidP="0077065D">
      <w:pPr>
        <w:numPr>
          <w:ilvl w:val="0"/>
          <w:numId w:val="4"/>
        </w:numPr>
      </w:pPr>
      <w:r w:rsidRPr="0061352D">
        <w:t>Required languages</w:t>
      </w:r>
    </w:p>
    <w:p w14:paraId="1D2D46B9" w14:textId="77777777" w:rsidR="0077065D" w:rsidRPr="0061352D" w:rsidRDefault="0077065D" w:rsidP="0077065D">
      <w:pPr>
        <w:numPr>
          <w:ilvl w:val="0"/>
          <w:numId w:val="4"/>
        </w:numPr>
      </w:pPr>
      <w:r w:rsidRPr="0061352D">
        <w:t>Ability to fill same-day cancellations (Yes/No)</w:t>
      </w:r>
    </w:p>
    <w:p w14:paraId="6CFED6EF" w14:textId="77777777" w:rsidR="0077065D" w:rsidRPr="0061352D" w:rsidRDefault="0077065D" w:rsidP="0077065D">
      <w:r w:rsidRPr="0061352D">
        <w:rPr>
          <w:b/>
          <w:bCs/>
        </w:rPr>
        <w:t>Best practice (collapsed)</w:t>
      </w:r>
      <w:r w:rsidRPr="0061352D">
        <w:br/>
        <w:t>Larger indoor programs benefit from a scheduling “command center” to fill cancellations and improve completion rates.</w:t>
      </w:r>
    </w:p>
    <w:p w14:paraId="078883B7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1B31C4BF" w14:textId="77777777" w:rsidR="0077065D" w:rsidRPr="0061352D" w:rsidRDefault="00000000" w:rsidP="0077065D">
      <w:r>
        <w:pict w14:anchorId="2882ECB7">
          <v:rect id="_x0000_i1034" style="width:0;height:1.5pt" o:hralign="center" o:hrstd="t" o:hr="t" fillcolor="#a0a0a0" stroked="f"/>
        </w:pict>
      </w:r>
    </w:p>
    <w:p w14:paraId="5F558EE1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lastRenderedPageBreak/>
        <w:t>RFP Requirement (Informational Panel – Not a Question)</w:t>
      </w:r>
    </w:p>
    <w:p w14:paraId="7057301E" w14:textId="77777777" w:rsidR="0077065D" w:rsidRPr="0061352D" w:rsidRDefault="0077065D" w:rsidP="0077065D">
      <w:r w:rsidRPr="0061352D">
        <w:t>Bidders shall propose expected indoor productivity (installs/crew/day) and assumptions (appointment success rate, travel time, property types</w:t>
      </w:r>
      <w:proofErr w:type="gramStart"/>
      <w:r w:rsidRPr="0061352D">
        <w:t>), and</w:t>
      </w:r>
      <w:proofErr w:type="gramEnd"/>
      <w:r w:rsidRPr="0061352D">
        <w:t xml:space="preserve"> include staffing plan.</w:t>
      </w:r>
    </w:p>
    <w:p w14:paraId="5BDDDBB1" w14:textId="77777777" w:rsidR="0077065D" w:rsidRPr="0061352D" w:rsidRDefault="00000000" w:rsidP="0077065D">
      <w:r>
        <w:pict w14:anchorId="41BFE03A">
          <v:rect id="_x0000_i1035" style="width:0;height:1.5pt" o:hralign="center" o:hrstd="t" o:hr="t" fillcolor="#a0a0a0" stroked="f"/>
        </w:pict>
      </w:r>
    </w:p>
    <w:p w14:paraId="69420B9C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I7) Missed Appointments Handling</w:t>
      </w:r>
    </w:p>
    <w:p w14:paraId="25C4589C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How should missed appointments be handled and compensated?</w:t>
      </w:r>
    </w:p>
    <w:p w14:paraId="78881297" w14:textId="77777777" w:rsidR="0077065D" w:rsidRPr="0061352D" w:rsidRDefault="0077065D" w:rsidP="0077065D">
      <w:r w:rsidRPr="0061352D">
        <w:t>☐ Included in unit price (contractor absorbs)</w:t>
      </w:r>
      <w:r w:rsidRPr="0061352D">
        <w:br/>
        <w:t xml:space="preserve">☐ Separate </w:t>
      </w:r>
      <w:proofErr w:type="gramStart"/>
      <w:r w:rsidRPr="0061352D">
        <w:t>line item</w:t>
      </w:r>
      <w:proofErr w:type="gramEnd"/>
      <w:r w:rsidRPr="0061352D">
        <w:t xml:space="preserve"> fee after defined threshold</w:t>
      </w:r>
      <w:r w:rsidRPr="0061352D">
        <w:br/>
        <w:t>☐ Returned to utility after first miss</w:t>
      </w:r>
      <w:r w:rsidRPr="0061352D">
        <w:br/>
        <w:t>☐ Not defined</w:t>
      </w:r>
    </w:p>
    <w:p w14:paraId="173E145B" w14:textId="77777777" w:rsidR="0077065D" w:rsidRPr="0061352D" w:rsidRDefault="0077065D" w:rsidP="0077065D">
      <w:r w:rsidRPr="0061352D">
        <w:rPr>
          <w:b/>
          <w:bCs/>
        </w:rPr>
        <w:t>Best practice (collapsed)</w:t>
      </w:r>
      <w:r w:rsidRPr="0061352D">
        <w:br/>
        <w:t>One courtesy reschedule is common; repeated misses should trigger defined fees or escalation.</w:t>
      </w:r>
    </w:p>
    <w:p w14:paraId="439FB74F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614819C7" w14:textId="77777777" w:rsidR="0077065D" w:rsidRPr="0061352D" w:rsidRDefault="00000000" w:rsidP="0077065D">
      <w:r>
        <w:pict w14:anchorId="7909FBCD">
          <v:rect id="_x0000_i1036" style="width:0;height:1.5pt" o:hralign="center" o:hrstd="t" o:hr="t" fillcolor="#a0a0a0" stroked="f"/>
        </w:pict>
      </w:r>
    </w:p>
    <w:p w14:paraId="2611DD75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Inside Sets — Section III</w:t>
      </w:r>
    </w:p>
    <w:p w14:paraId="16699624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Notifications &amp; Customer Engagement</w:t>
      </w:r>
    </w:p>
    <w:p w14:paraId="6BB1A53D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I8) Notification Channels</w:t>
      </w:r>
    </w:p>
    <w:p w14:paraId="191CFDEA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Which notification channels are authorized for indoor access scheduling? (Multi-select)</w:t>
      </w:r>
    </w:p>
    <w:p w14:paraId="0845AB17" w14:textId="77777777" w:rsidR="0077065D" w:rsidRPr="0061352D" w:rsidRDefault="0077065D" w:rsidP="0077065D">
      <w:r w:rsidRPr="0061352D">
        <w:t>☐ Utility letterhead letter (recommended)</w:t>
      </w:r>
      <w:r w:rsidRPr="0061352D">
        <w:br/>
        <w:t>☐ Contractor postcard(s)</w:t>
      </w:r>
      <w:r w:rsidRPr="0061352D">
        <w:br/>
        <w:t>☐ Phone calls</w:t>
      </w:r>
      <w:r w:rsidRPr="0061352D">
        <w:br/>
        <w:t>☐ Text messages</w:t>
      </w:r>
      <w:r w:rsidRPr="0061352D">
        <w:br/>
        <w:t>☐ Email</w:t>
      </w:r>
      <w:r w:rsidRPr="0061352D">
        <w:br/>
        <w:t>☐ Door hanger (higher cost)</w:t>
      </w:r>
      <w:r w:rsidRPr="0061352D">
        <w:br/>
        <w:t>☐ In-person door knock (higher cost)</w:t>
      </w:r>
      <w:r w:rsidRPr="0061352D">
        <w:br/>
        <w:t>☐ Not defined</w:t>
      </w:r>
    </w:p>
    <w:p w14:paraId="73C143DB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585512BB" w14:textId="77777777" w:rsidR="0077065D" w:rsidRPr="0061352D" w:rsidRDefault="00000000" w:rsidP="0077065D">
      <w:r>
        <w:pict w14:anchorId="0F0DF132">
          <v:rect id="_x0000_i1037" style="width:0;height:1.5pt" o:hralign="center" o:hrstd="t" o:hr="t" fillcolor="#a0a0a0" stroked="f"/>
        </w:pict>
      </w:r>
    </w:p>
    <w:p w14:paraId="52BC789C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lastRenderedPageBreak/>
        <w:t>I8a) Addressing Rules</w:t>
      </w:r>
    </w:p>
    <w:p w14:paraId="236BC8FF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For mailed notifications, where should notices be sent?</w:t>
      </w:r>
    </w:p>
    <w:p w14:paraId="790AADAF" w14:textId="77777777" w:rsidR="0077065D" w:rsidRPr="0061352D" w:rsidRDefault="0077065D" w:rsidP="0077065D">
      <w:r w:rsidRPr="0061352D">
        <w:t>☐ Service address only</w:t>
      </w:r>
      <w:r w:rsidRPr="0061352D">
        <w:br/>
        <w:t>☐ Billing/mailing address only</w:t>
      </w:r>
      <w:r w:rsidRPr="0061352D">
        <w:br/>
        <w:t>☐ Both service + billing/mailing (recommended)</w:t>
      </w:r>
      <w:r w:rsidRPr="0061352D">
        <w:br/>
        <w:t>☐ Not defined</w:t>
      </w:r>
    </w:p>
    <w:p w14:paraId="29B6049E" w14:textId="77777777" w:rsidR="0077065D" w:rsidRPr="0061352D" w:rsidRDefault="0077065D" w:rsidP="0077065D">
      <w:r w:rsidRPr="0061352D">
        <w:rPr>
          <w:b/>
          <w:bCs/>
        </w:rPr>
        <w:t>Guidance (collapsed)</w:t>
      </w:r>
      <w:r w:rsidRPr="0061352D">
        <w:br/>
        <w:t>Commercial and absentee-owner accounts may not receive mail at the service address.</w:t>
      </w:r>
    </w:p>
    <w:p w14:paraId="46DBE68F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7D28C886" w14:textId="77777777" w:rsidR="0077065D" w:rsidRPr="0061352D" w:rsidRDefault="00000000" w:rsidP="0077065D">
      <w:r>
        <w:pict w14:anchorId="24EAB93F">
          <v:rect id="_x0000_i1038" style="width:0;height:1.5pt" o:hralign="center" o:hrstd="t" o:hr="t" fillcolor="#a0a0a0" stroked="f"/>
        </w:pict>
      </w:r>
    </w:p>
    <w:p w14:paraId="20A1AEF3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I8b) Walk-In Required Flags</w:t>
      </w:r>
    </w:p>
    <w:p w14:paraId="75C153E6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 xml:space="preserve">Can the utility identify accounts </w:t>
      </w:r>
      <w:proofErr w:type="spellStart"/>
      <w:r w:rsidRPr="0061352D">
        <w:t>where</w:t>
      </w:r>
      <w:proofErr w:type="spellEnd"/>
      <w:r w:rsidRPr="0061352D">
        <w:t xml:space="preserve"> mailed outreach is unlikely to reach the </w:t>
      </w:r>
      <w:proofErr w:type="gramStart"/>
      <w:r w:rsidRPr="0061352D">
        <w:t>occupant</w:t>
      </w:r>
      <w:proofErr w:type="gramEnd"/>
      <w:r w:rsidRPr="0061352D">
        <w:t xml:space="preserve"> and in-person contact is required?</w:t>
      </w:r>
    </w:p>
    <w:p w14:paraId="14BCA488" w14:textId="77777777" w:rsidR="0077065D" w:rsidRPr="0061352D" w:rsidRDefault="0077065D" w:rsidP="0077065D">
      <w:r w:rsidRPr="0061352D">
        <w:t>☐ Yes (flagged list available)</w:t>
      </w:r>
      <w:r w:rsidRPr="0061352D">
        <w:br/>
        <w:t>☐ Somewhat</w:t>
      </w:r>
      <w:r w:rsidRPr="0061352D">
        <w:br/>
        <w:t>☐ No</w:t>
      </w:r>
      <w:r w:rsidRPr="0061352D">
        <w:br/>
        <w:t>☐ Not sure</w:t>
      </w:r>
    </w:p>
    <w:p w14:paraId="2400A031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470E46C6" w14:textId="77777777" w:rsidR="0077065D" w:rsidRPr="0061352D" w:rsidRDefault="00000000" w:rsidP="0077065D">
      <w:r>
        <w:pict w14:anchorId="5BD1748F">
          <v:rect id="_x0000_i1039" style="width:0;height:1.5pt" o:hralign="center" o:hrstd="t" o:hr="t" fillcolor="#a0a0a0" stroked="f"/>
        </w:pict>
      </w:r>
    </w:p>
    <w:p w14:paraId="09BE0501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I9) Number of Contact Attempts</w:t>
      </w:r>
    </w:p>
    <w:p w14:paraId="59D2C07E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How many contact attempts should be made before classifying an account as no-response?</w:t>
      </w:r>
    </w:p>
    <w:p w14:paraId="052F8668" w14:textId="77777777" w:rsidR="0077065D" w:rsidRPr="0061352D" w:rsidRDefault="0077065D" w:rsidP="0077065D">
      <w:r w:rsidRPr="0061352D">
        <w:t>☐ 1–2</w:t>
      </w:r>
      <w:r w:rsidRPr="0061352D">
        <w:br/>
        <w:t>☐ 3–4</w:t>
      </w:r>
      <w:r w:rsidRPr="0061352D">
        <w:br/>
        <w:t>☐ 5+</w:t>
      </w:r>
      <w:r w:rsidRPr="0061352D">
        <w:br/>
        <w:t>☐ Not defined</w:t>
      </w:r>
    </w:p>
    <w:p w14:paraId="0B43F516" w14:textId="77777777" w:rsidR="0077065D" w:rsidRPr="0061352D" w:rsidRDefault="0077065D" w:rsidP="0077065D">
      <w:r w:rsidRPr="0061352D">
        <w:rPr>
          <w:b/>
          <w:bCs/>
        </w:rPr>
        <w:t>Guidance (collapsed)</w:t>
      </w:r>
      <w:r w:rsidRPr="0061352D">
        <w:br/>
        <w:t>Best practice includes multiple contact attempts across different channels.</w:t>
      </w:r>
    </w:p>
    <w:p w14:paraId="491E1466" w14:textId="77777777" w:rsidR="0077065D" w:rsidRPr="0061352D" w:rsidRDefault="00000000" w:rsidP="0077065D">
      <w:r>
        <w:lastRenderedPageBreak/>
        <w:pict w14:anchorId="0D718784">
          <v:rect id="_x0000_i1040" style="width:0;height:1.5pt" o:hralign="center" o:hrstd="t" o:hr="t" fillcolor="#a0a0a0" stroked="f"/>
        </w:pict>
      </w:r>
    </w:p>
    <w:p w14:paraId="22016ADE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I10) No-Response Classification</w:t>
      </w:r>
    </w:p>
    <w:p w14:paraId="2B6D8A03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When should a location be classified as no-response or customer unavailable?</w:t>
      </w:r>
    </w:p>
    <w:p w14:paraId="245453E2" w14:textId="77777777" w:rsidR="0077065D" w:rsidRPr="0061352D" w:rsidRDefault="0077065D" w:rsidP="0077065D">
      <w:r w:rsidRPr="0061352D">
        <w:t>☐ After defined number of attempts</w:t>
      </w:r>
      <w:r w:rsidRPr="0061352D">
        <w:br/>
        <w:t xml:space="preserve">☐ After a defined </w:t>
      </w:r>
      <w:proofErr w:type="gramStart"/>
      <w:r w:rsidRPr="0061352D">
        <w:t>time period</w:t>
      </w:r>
      <w:proofErr w:type="gramEnd"/>
      <w:r w:rsidRPr="0061352D">
        <w:br/>
        <w:t>☐ At utility discretion</w:t>
      </w:r>
      <w:r w:rsidRPr="0061352D">
        <w:br/>
        <w:t>☐ Not defined</w:t>
      </w:r>
    </w:p>
    <w:p w14:paraId="5222C0D2" w14:textId="77777777" w:rsidR="0077065D" w:rsidRPr="0061352D" w:rsidRDefault="0077065D" w:rsidP="0077065D">
      <w:r w:rsidRPr="0061352D">
        <w:rPr>
          <w:b/>
          <w:bCs/>
        </w:rPr>
        <w:t>Effect</w:t>
      </w:r>
      <w:r w:rsidRPr="0061352D">
        <w:br/>
        <w:t>No-response → Inside Set RTU (customer-driven)</w:t>
      </w:r>
    </w:p>
    <w:p w14:paraId="1A4C0937" w14:textId="77777777" w:rsidR="0077065D" w:rsidRPr="0061352D" w:rsidRDefault="00000000" w:rsidP="0077065D">
      <w:r>
        <w:pict w14:anchorId="57688634">
          <v:rect id="_x0000_i1041" style="width:0;height:1.5pt" o:hralign="center" o:hrstd="t" o:hr="t" fillcolor="#a0a0a0" stroked="f"/>
        </w:pict>
      </w:r>
    </w:p>
    <w:p w14:paraId="720A3D0C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Inside Sets — Section IV</w:t>
      </w:r>
    </w:p>
    <w:p w14:paraId="0DD4ECCC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Route Closure &amp; Progression</w:t>
      </w:r>
    </w:p>
    <w:p w14:paraId="3C8D1644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I11) Route Closure Definition (Inside Sets)</w:t>
      </w:r>
    </w:p>
    <w:p w14:paraId="0B9C0579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Which dispositions should count toward route completion for indoor work? (Multi-select)</w:t>
      </w:r>
    </w:p>
    <w:p w14:paraId="7B8AB378" w14:textId="77777777" w:rsidR="0077065D" w:rsidRPr="0061352D" w:rsidRDefault="0077065D" w:rsidP="0077065D">
      <w:r w:rsidRPr="0061352D">
        <w:t>☐ Completed install</w:t>
      </w:r>
      <w:r w:rsidRPr="0061352D">
        <w:br/>
        <w:t>☐ Customer refusal documented</w:t>
      </w:r>
      <w:r w:rsidRPr="0061352D">
        <w:br/>
        <w:t>☐ No-response documented</w:t>
      </w:r>
      <w:r w:rsidRPr="0061352D">
        <w:br/>
        <w:t>☐ Vacant/unoccupied documented</w:t>
      </w:r>
      <w:r w:rsidRPr="0061352D">
        <w:br/>
        <w:t>☐ Safety/access constraint documented</w:t>
      </w:r>
      <w:r w:rsidRPr="0061352D">
        <w:br/>
        <w:t>☐ Utility Intervention Required (UIR) created</w:t>
      </w:r>
      <w:r w:rsidRPr="0061352D">
        <w:br/>
        <w:t>☐ Return to Utility (RTU) created</w:t>
      </w:r>
    </w:p>
    <w:p w14:paraId="1313EB7F" w14:textId="77777777" w:rsidR="0077065D" w:rsidRPr="0061352D" w:rsidRDefault="0077065D" w:rsidP="0077065D">
      <w:r w:rsidRPr="0061352D">
        <w:rPr>
          <w:b/>
          <w:bCs/>
        </w:rPr>
        <w:t>Guidance (collapsed)</w:t>
      </w:r>
      <w:r w:rsidRPr="0061352D">
        <w:br/>
        <w:t>Indoor route closure must be based on documented outcomes, not 100% installs.</w:t>
      </w:r>
    </w:p>
    <w:p w14:paraId="7E3E2600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3144B70D" w14:textId="77777777" w:rsidR="0077065D" w:rsidRPr="0061352D" w:rsidRDefault="00000000" w:rsidP="0077065D">
      <w:r>
        <w:pict w14:anchorId="5FF15C05">
          <v:rect id="_x0000_i1042" style="width:0;height:1.5pt" o:hralign="center" o:hrstd="t" o:hr="t" fillcolor="#a0a0a0" stroked="f"/>
        </w:pict>
      </w:r>
    </w:p>
    <w:p w14:paraId="342F3AAD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I12) Progression Protection</w:t>
      </w:r>
    </w:p>
    <w:p w14:paraId="12EAC73B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If remaining open locations are no-response, refusal, or UIR-dependent, may the contractor advance to new routes?</w:t>
      </w:r>
    </w:p>
    <w:p w14:paraId="53E9E7BE" w14:textId="77777777" w:rsidR="0077065D" w:rsidRPr="0061352D" w:rsidRDefault="0077065D" w:rsidP="0077065D">
      <w:r w:rsidRPr="0061352D">
        <w:lastRenderedPageBreak/>
        <w:t>☐ Yes (recommended)</w:t>
      </w:r>
      <w:r w:rsidRPr="0061352D">
        <w:br/>
        <w:t>☐ No</w:t>
      </w:r>
      <w:r w:rsidRPr="0061352D">
        <w:br/>
        <w:t>☐ Subject to approval</w:t>
      </w:r>
      <w:r w:rsidRPr="0061352D">
        <w:br/>
        <w:t>☐ Not defined</w:t>
      </w:r>
    </w:p>
    <w:p w14:paraId="4F6C3E89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06A7F7CC" w14:textId="77777777" w:rsidR="0077065D" w:rsidRPr="0061352D" w:rsidRDefault="00000000" w:rsidP="0077065D">
      <w:r>
        <w:pict w14:anchorId="49641192">
          <v:rect id="_x0000_i1043" style="width:0;height:1.5pt" o:hralign="center" o:hrstd="t" o:hr="t" fillcolor="#a0a0a0" stroked="f"/>
        </w:pict>
      </w:r>
    </w:p>
    <w:p w14:paraId="74DA0168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Inside Sets — Section V</w:t>
      </w:r>
    </w:p>
    <w:p w14:paraId="6A74EABD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Customer Refusals &amp; Liability</w:t>
      </w:r>
    </w:p>
    <w:p w14:paraId="225E4D86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I13) Customer Refusals</w:t>
      </w:r>
    </w:p>
    <w:p w14:paraId="16D0C0A2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How should customer refusals be handled?</w:t>
      </w:r>
    </w:p>
    <w:p w14:paraId="617ACE1B" w14:textId="77777777" w:rsidR="0077065D" w:rsidRPr="0061352D" w:rsidRDefault="0077065D" w:rsidP="0077065D">
      <w:r w:rsidRPr="0061352D">
        <w:t>☐ Logged and returned to utility</w:t>
      </w:r>
      <w:r w:rsidRPr="0061352D">
        <w:br/>
        <w:t>☐ Escalated through utility outreach</w:t>
      </w:r>
      <w:r w:rsidRPr="0061352D">
        <w:br/>
        <w:t>☐ Considered complete for contractor scope</w:t>
      </w:r>
      <w:r w:rsidRPr="0061352D">
        <w:br/>
        <w:t>☐ Not defined</w:t>
      </w:r>
    </w:p>
    <w:p w14:paraId="3F41D80C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5C0A0FF6" w14:textId="77777777" w:rsidR="0077065D" w:rsidRPr="0061352D" w:rsidRDefault="00000000" w:rsidP="0077065D">
      <w:r>
        <w:pict w14:anchorId="1F02DB25">
          <v:rect id="_x0000_i1044" style="width:0;height:1.5pt" o:hralign="center" o:hrstd="t" o:hr="t" fillcolor="#a0a0a0" stroked="f"/>
        </w:pict>
      </w:r>
    </w:p>
    <w:p w14:paraId="091334C6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I14) Interior Damage &amp; Leak Liability</w:t>
      </w:r>
    </w:p>
    <w:p w14:paraId="40DC52B1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How should responsibility be assigned for leaks or damage associated with indoor installations?</w:t>
      </w:r>
    </w:p>
    <w:p w14:paraId="5F5D2412" w14:textId="77777777" w:rsidR="0077065D" w:rsidRPr="0061352D" w:rsidRDefault="0077065D" w:rsidP="0077065D">
      <w:r w:rsidRPr="0061352D">
        <w:t>☐ Contractor responsible for installation workmanship (recommended baseline)</w:t>
      </w:r>
      <w:r w:rsidRPr="0061352D">
        <w:br/>
        <w:t>☐ Utility responsible for pre-existing plumbing failures</w:t>
      </w:r>
      <w:r w:rsidRPr="0061352D">
        <w:br/>
        <w:t>☐ Shared / case-by-case with defined criteria</w:t>
      </w:r>
      <w:r w:rsidRPr="0061352D">
        <w:br/>
        <w:t>☐ Not defined</w:t>
      </w:r>
    </w:p>
    <w:p w14:paraId="133DA33A" w14:textId="77777777" w:rsidR="0077065D" w:rsidRPr="0061352D" w:rsidRDefault="0077065D" w:rsidP="0077065D">
      <w:r w:rsidRPr="0061352D">
        <w:rPr>
          <w:b/>
          <w:bCs/>
        </w:rPr>
        <w:t>Best practice (collapsed)</w:t>
      </w:r>
      <w:r w:rsidRPr="0061352D">
        <w:br/>
        <w:t>Contractor is responsible for workmanship-related issues. Pre-existing failures outside contractor control (e.g., brittle lead or galvanized lines not disturbed) should follow defined utility contingency.</w:t>
      </w:r>
    </w:p>
    <w:p w14:paraId="3EABB5FF" w14:textId="77777777" w:rsidR="0077065D" w:rsidRPr="0061352D" w:rsidRDefault="0077065D" w:rsidP="0077065D">
      <w:r w:rsidRPr="0061352D">
        <w:rPr>
          <w:b/>
          <w:bCs/>
        </w:rPr>
        <w:t>Notes (optional)</w:t>
      </w:r>
    </w:p>
    <w:p w14:paraId="5C71CDE1" w14:textId="77777777" w:rsidR="0077065D" w:rsidRPr="0061352D" w:rsidRDefault="00000000" w:rsidP="0077065D">
      <w:r>
        <w:pict w14:anchorId="4B9DCA65">
          <v:rect id="_x0000_i1045" style="width:0;height:1.5pt" o:hralign="center" o:hrstd="t" o:hr="t" fillcolor="#a0a0a0" stroked="f"/>
        </w:pict>
      </w:r>
    </w:p>
    <w:p w14:paraId="14F40D34" w14:textId="74FFBC1D" w:rsidR="0077065D" w:rsidRPr="0061352D" w:rsidRDefault="004567A5" w:rsidP="0077065D">
      <w:pPr>
        <w:rPr>
          <w:b/>
          <w:bCs/>
        </w:rPr>
      </w:pPr>
      <w:r>
        <w:rPr>
          <w:b/>
          <w:bCs/>
        </w:rPr>
        <w:lastRenderedPageBreak/>
        <w:t xml:space="preserve">I14a) </w:t>
      </w:r>
      <w:r w:rsidR="0077065D" w:rsidRPr="0061352D">
        <w:rPr>
          <w:b/>
          <w:bCs/>
        </w:rPr>
        <w:t>Lead Service Line Presence</w:t>
      </w:r>
    </w:p>
    <w:p w14:paraId="71AB3CE9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Are lead or lead-adjacent service lines expected?</w:t>
      </w:r>
    </w:p>
    <w:p w14:paraId="514C9940" w14:textId="77777777" w:rsidR="0077065D" w:rsidRPr="0061352D" w:rsidRDefault="0077065D" w:rsidP="0077065D">
      <w:r w:rsidRPr="0061352D">
        <w:t>☐ Yes</w:t>
      </w:r>
      <w:r w:rsidRPr="0061352D">
        <w:br/>
        <w:t>☐ No</w:t>
      </w:r>
      <w:r w:rsidRPr="0061352D">
        <w:br/>
        <w:t>☐ Unknown</w:t>
      </w:r>
    </w:p>
    <w:p w14:paraId="02A00797" w14:textId="77777777" w:rsidR="0077065D" w:rsidRPr="0061352D" w:rsidRDefault="0077065D" w:rsidP="0077065D">
      <w:r w:rsidRPr="0061352D">
        <w:rPr>
          <w:b/>
          <w:bCs/>
        </w:rPr>
        <w:t>Guidance</w:t>
      </w:r>
      <w:r w:rsidRPr="0061352D">
        <w:br/>
        <w:t>If yes/unknown → define special procedures and shared-risk escalation; recommend audit/field validation.</w:t>
      </w:r>
    </w:p>
    <w:p w14:paraId="504FEF71" w14:textId="77777777" w:rsidR="0077065D" w:rsidRPr="0061352D" w:rsidRDefault="00000000" w:rsidP="0077065D">
      <w:r>
        <w:pict w14:anchorId="7F6A681E">
          <v:rect id="_x0000_i1046" style="width:0;height:1.5pt" o:hralign="center" o:hrstd="t" o:hr="t" fillcolor="#a0a0a0" stroked="f"/>
        </w:pict>
      </w:r>
    </w:p>
    <w:p w14:paraId="25A195C0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Inside Sets — Section VII</w:t>
      </w:r>
    </w:p>
    <w:p w14:paraId="42FAAD1C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Water Shutoff, Valves &amp; Service Isolation</w:t>
      </w:r>
    </w:p>
    <w:p w14:paraId="25CFD427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Global Guidance (collapsed)</w:t>
      </w:r>
    </w:p>
    <w:p w14:paraId="310AB2DC" w14:textId="77777777" w:rsidR="0077065D" w:rsidRPr="0061352D" w:rsidRDefault="0077065D" w:rsidP="0077065D">
      <w:r w:rsidRPr="0061352D">
        <w:t>Uncertainty around valves, curb stops, and access introduces contractor risk, typically reflected in higher unit pricing. Clear responsibility and contingency definitions improve bid competitiveness and reduce disputes.</w:t>
      </w:r>
    </w:p>
    <w:p w14:paraId="027C81D6" w14:textId="77777777" w:rsidR="0077065D" w:rsidRPr="0061352D" w:rsidRDefault="00000000" w:rsidP="0077065D">
      <w:r>
        <w:pict w14:anchorId="30294887">
          <v:rect id="_x0000_i1047" style="width:0;height:1.5pt" o:hralign="center" o:hrstd="t" o:hr="t" fillcolor="#a0a0a0" stroked="f"/>
        </w:pict>
      </w:r>
    </w:p>
    <w:p w14:paraId="7D8D8F08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I15) Primary Shutoff Method</w:t>
      </w:r>
    </w:p>
    <w:p w14:paraId="3AB53120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What is the expected primary method for shutting off water during indoor meter replacement?</w:t>
      </w:r>
    </w:p>
    <w:p w14:paraId="542A75E9" w14:textId="77777777" w:rsidR="0077065D" w:rsidRPr="0061352D" w:rsidRDefault="0077065D" w:rsidP="0077065D">
      <w:r w:rsidRPr="0061352D">
        <w:t>☐ Interior shutoff valve only</w:t>
      </w:r>
      <w:r w:rsidRPr="0061352D">
        <w:br/>
        <w:t>☐ Curb stop (B-Box) only</w:t>
      </w:r>
      <w:r w:rsidRPr="0061352D">
        <w:br/>
        <w:t>☐ Interior valve preferred; curb stop as backup (recommended)</w:t>
      </w:r>
      <w:r w:rsidRPr="0061352D">
        <w:br/>
        <w:t>☐ Not defined</w:t>
      </w:r>
    </w:p>
    <w:p w14:paraId="7BFA4AF3" w14:textId="77777777" w:rsidR="0077065D" w:rsidRPr="0061352D" w:rsidRDefault="00000000" w:rsidP="0077065D">
      <w:r>
        <w:pict w14:anchorId="3AD01FCF">
          <v:rect id="_x0000_i1048" style="width:0;height:1.5pt" o:hralign="center" o:hrstd="t" o:hr="t" fillcolor="#a0a0a0" stroked="f"/>
        </w:pict>
      </w:r>
    </w:p>
    <w:p w14:paraId="4C1A4E47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I16) Interior Shutoff Valve Condition</w:t>
      </w:r>
    </w:p>
    <w:p w14:paraId="2839D954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What is the general condition of interior shutoff valves?</w:t>
      </w:r>
    </w:p>
    <w:p w14:paraId="4E5335B2" w14:textId="77777777" w:rsidR="0077065D" w:rsidRPr="0061352D" w:rsidRDefault="0077065D" w:rsidP="0077065D">
      <w:r w:rsidRPr="0061352D">
        <w:lastRenderedPageBreak/>
        <w:t>☐ Generally reliable</w:t>
      </w:r>
      <w:r w:rsidRPr="0061352D">
        <w:br/>
        <w:t>☐ Mixed condition</w:t>
      </w:r>
      <w:r w:rsidRPr="0061352D">
        <w:br/>
        <w:t>☐ Frequently inoperable</w:t>
      </w:r>
      <w:r w:rsidRPr="0061352D">
        <w:br/>
        <w:t>☐ Unknown</w:t>
      </w:r>
    </w:p>
    <w:p w14:paraId="693FC0C2" w14:textId="77777777" w:rsidR="0077065D" w:rsidRPr="0061352D" w:rsidRDefault="00000000" w:rsidP="0077065D">
      <w:r>
        <w:pict w14:anchorId="5D612DF3">
          <v:rect id="_x0000_i1049" style="width:0;height:1.5pt" o:hralign="center" o:hrstd="t" o:hr="t" fillcolor="#a0a0a0" stroked="f"/>
        </w:pict>
      </w:r>
    </w:p>
    <w:p w14:paraId="4DD2BD2D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I16a) Interior Shutoff Valve Type</w:t>
      </w:r>
    </w:p>
    <w:p w14:paraId="28B03400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What types of interior shutoff valves are typically present? (Multi-select)</w:t>
      </w:r>
    </w:p>
    <w:p w14:paraId="0AC7B6E0" w14:textId="77777777" w:rsidR="0077065D" w:rsidRPr="0061352D" w:rsidRDefault="0077065D" w:rsidP="0077065D">
      <w:r w:rsidRPr="0061352D">
        <w:t>☐ Ball valves</w:t>
      </w:r>
      <w:r w:rsidRPr="0061352D">
        <w:br/>
        <w:t>☐ Gate valves</w:t>
      </w:r>
      <w:r w:rsidRPr="0061352D">
        <w:br/>
        <w:t>☐ Globe valves</w:t>
      </w:r>
      <w:r w:rsidRPr="0061352D">
        <w:br/>
        <w:t>☐ Mixed / varies</w:t>
      </w:r>
      <w:r w:rsidRPr="0061352D">
        <w:br/>
        <w:t>☐ Unknown</w:t>
      </w:r>
    </w:p>
    <w:p w14:paraId="2ABF5ECE" w14:textId="77777777" w:rsidR="0077065D" w:rsidRPr="0061352D" w:rsidRDefault="00000000" w:rsidP="0077065D">
      <w:r>
        <w:pict w14:anchorId="742CB6BD">
          <v:rect id="_x0000_i1050" style="width:0;height:1.5pt" o:hralign="center" o:hrstd="t" o:hr="t" fillcolor="#a0a0a0" stroked="f"/>
        </w:pict>
      </w:r>
    </w:p>
    <w:p w14:paraId="0AA4DDDB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I16b) Interior Valve Replacement Contingency</w:t>
      </w:r>
    </w:p>
    <w:p w14:paraId="71DFC5F0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If an interior shutoff valve is non-functional, is replacement authorized?</w:t>
      </w:r>
    </w:p>
    <w:p w14:paraId="30B98EE9" w14:textId="77777777" w:rsidR="0077065D" w:rsidRPr="0061352D" w:rsidRDefault="0077065D" w:rsidP="0077065D">
      <w:r w:rsidRPr="0061352D">
        <w:t>☐ Yes — included in installation scope</w:t>
      </w:r>
      <w:r w:rsidRPr="0061352D">
        <w:br/>
        <w:t>☐ Yes — under contingency allowance</w:t>
      </w:r>
      <w:r w:rsidRPr="0061352D">
        <w:br/>
        <w:t>☐ No — utility responsibility</w:t>
      </w:r>
      <w:r w:rsidRPr="0061352D">
        <w:br/>
        <w:t>☐ Not defined</w:t>
      </w:r>
    </w:p>
    <w:p w14:paraId="59AC4AE6" w14:textId="77777777" w:rsidR="0077065D" w:rsidRPr="0061352D" w:rsidRDefault="00000000" w:rsidP="0077065D">
      <w:r>
        <w:pict w14:anchorId="726B6D57">
          <v:rect id="_x0000_i1051" style="width:0;height:1.5pt" o:hralign="center" o:hrstd="t" o:hr="t" fillcolor="#a0a0a0" stroked="f"/>
        </w:pict>
      </w:r>
    </w:p>
    <w:p w14:paraId="41C2339E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I17a) Curb Stop (B-Box) Asset Data Availability</w:t>
      </w:r>
    </w:p>
    <w:p w14:paraId="52431AF9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Does the utility maintain asset-level data identifying curb stop locations?</w:t>
      </w:r>
    </w:p>
    <w:p w14:paraId="736EB5D8" w14:textId="77777777" w:rsidR="0077065D" w:rsidRPr="0061352D" w:rsidRDefault="0077065D" w:rsidP="0077065D">
      <w:r w:rsidRPr="0061352D">
        <w:t>☐ Yes — accurate and current</w:t>
      </w:r>
      <w:r w:rsidRPr="0061352D">
        <w:br/>
        <w:t>☐ Partial / limited accuracy</w:t>
      </w:r>
      <w:r w:rsidRPr="0061352D">
        <w:br/>
        <w:t>☐ No</w:t>
      </w:r>
      <w:r w:rsidRPr="0061352D">
        <w:br/>
        <w:t>☐ Not sure</w:t>
      </w:r>
    </w:p>
    <w:p w14:paraId="7943152E" w14:textId="77777777" w:rsidR="0077065D" w:rsidRPr="0061352D" w:rsidRDefault="00000000" w:rsidP="0077065D">
      <w:r>
        <w:pict w14:anchorId="1E4E860A">
          <v:rect id="_x0000_i1052" style="width:0;height:1.5pt" o:hralign="center" o:hrstd="t" o:hr="t" fillcolor="#a0a0a0" stroked="f"/>
        </w:pict>
      </w:r>
    </w:p>
    <w:p w14:paraId="1D906D57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I17b) Curb Stop Accessibility Condition</w:t>
      </w:r>
    </w:p>
    <w:p w14:paraId="48BF5E2C" w14:textId="77777777" w:rsidR="0077065D" w:rsidRPr="0061352D" w:rsidRDefault="0077065D" w:rsidP="0077065D">
      <w:r w:rsidRPr="0061352D">
        <w:rPr>
          <w:b/>
          <w:bCs/>
        </w:rPr>
        <w:lastRenderedPageBreak/>
        <w:t>Question</w:t>
      </w:r>
      <w:r w:rsidRPr="0061352D">
        <w:br/>
        <w:t>What is the general accessibility condition of curb stops?</w:t>
      </w:r>
    </w:p>
    <w:p w14:paraId="708CA755" w14:textId="77777777" w:rsidR="0077065D" w:rsidRPr="0061352D" w:rsidRDefault="0077065D" w:rsidP="0077065D">
      <w:r w:rsidRPr="0061352D">
        <w:t>☐ Generally accessible</w:t>
      </w:r>
      <w:r w:rsidRPr="0061352D">
        <w:br/>
        <w:t>☐ Mixed condition</w:t>
      </w:r>
      <w:r w:rsidRPr="0061352D">
        <w:br/>
        <w:t>☐ Frequently buried / obstructed</w:t>
      </w:r>
      <w:r w:rsidRPr="0061352D">
        <w:br/>
        <w:t>☐ Unknown</w:t>
      </w:r>
    </w:p>
    <w:p w14:paraId="5EFC508D" w14:textId="77777777" w:rsidR="0077065D" w:rsidRPr="0061352D" w:rsidRDefault="00000000" w:rsidP="0077065D">
      <w:r>
        <w:pict w14:anchorId="4578E29B">
          <v:rect id="_x0000_i1053" style="width:0;height:1.5pt" o:hralign="center" o:hrstd="t" o:hr="t" fillcolor="#a0a0a0" stroked="f"/>
        </w:pict>
      </w:r>
    </w:p>
    <w:p w14:paraId="10AB27FD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I18) Authorization to Operate Curb Stops</w:t>
      </w:r>
    </w:p>
    <w:p w14:paraId="1129C491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Is the installation contractor authorized to access and operate curb stops?</w:t>
      </w:r>
    </w:p>
    <w:p w14:paraId="0A66B63C" w14:textId="77777777" w:rsidR="0077065D" w:rsidRPr="0061352D" w:rsidRDefault="0077065D" w:rsidP="0077065D">
      <w:r w:rsidRPr="0061352D">
        <w:t>☐ Yes</w:t>
      </w:r>
      <w:r w:rsidRPr="0061352D">
        <w:br/>
        <w:t>☐ Yes — with limitations</w:t>
      </w:r>
      <w:r w:rsidRPr="0061352D">
        <w:br/>
        <w:t>☐ No — utility staff only</w:t>
      </w:r>
      <w:r w:rsidRPr="0061352D">
        <w:br/>
        <w:t>☐ Not defined</w:t>
      </w:r>
    </w:p>
    <w:p w14:paraId="2169E12F" w14:textId="77777777" w:rsidR="0077065D" w:rsidRPr="0061352D" w:rsidRDefault="00000000" w:rsidP="0077065D">
      <w:r>
        <w:pict w14:anchorId="499A3E42">
          <v:rect id="_x0000_i1054" style="width:0;height:1.5pt" o:hralign="center" o:hrstd="t" o:hr="t" fillcolor="#a0a0a0" stroked="f"/>
        </w:pict>
      </w:r>
    </w:p>
    <w:p w14:paraId="75F08331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I18a) Utility-Performed Curb Stop Operations</w:t>
      </w:r>
    </w:p>
    <w:p w14:paraId="26E5D4B5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If utility-performed, what is the expected response time?</w:t>
      </w:r>
    </w:p>
    <w:p w14:paraId="5A1DD86D" w14:textId="77777777" w:rsidR="0077065D" w:rsidRPr="0061352D" w:rsidRDefault="0077065D" w:rsidP="0077065D">
      <w:r w:rsidRPr="0061352D">
        <w:t>☐ Same-day</w:t>
      </w:r>
      <w:r w:rsidRPr="0061352D">
        <w:br/>
        <w:t>☐ Next-day</w:t>
      </w:r>
      <w:r w:rsidRPr="0061352D">
        <w:br/>
        <w:t>☐ Scheduled</w:t>
      </w:r>
      <w:r w:rsidRPr="0061352D">
        <w:br/>
        <w:t>☐ Not defined</w:t>
      </w:r>
    </w:p>
    <w:p w14:paraId="4604C209" w14:textId="77777777" w:rsidR="0077065D" w:rsidRPr="0061352D" w:rsidRDefault="00000000" w:rsidP="0077065D">
      <w:r>
        <w:pict w14:anchorId="3D533DAC">
          <v:rect id="_x0000_i1055" style="width:0;height:1.5pt" o:hralign="center" o:hrstd="t" o:hr="t" fillcolor="#a0a0a0" stroked="f"/>
        </w:pict>
      </w:r>
    </w:p>
    <w:p w14:paraId="3F94B773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I18b) Contractor-Performed Curb Stop — Cost Treatment</w:t>
      </w:r>
    </w:p>
    <w:p w14:paraId="474E8AFF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How should contractor curb stop access be treated commercially?</w:t>
      </w:r>
    </w:p>
    <w:p w14:paraId="2B3738C5" w14:textId="77777777" w:rsidR="0077065D" w:rsidRPr="0061352D" w:rsidRDefault="0077065D" w:rsidP="0077065D">
      <w:r w:rsidRPr="0061352D">
        <w:t>☐ Included in unit price</w:t>
      </w:r>
      <w:r w:rsidRPr="0061352D">
        <w:br/>
        <w:t>☐ Separate contingency line item (recommended)</w:t>
      </w:r>
      <w:r w:rsidRPr="0061352D">
        <w:br/>
        <w:t>☐ Time &amp; materials</w:t>
      </w:r>
      <w:r w:rsidRPr="0061352D">
        <w:br/>
        <w:t>☐ Not defined</w:t>
      </w:r>
    </w:p>
    <w:p w14:paraId="0089B922" w14:textId="77777777" w:rsidR="0077065D" w:rsidRPr="0061352D" w:rsidRDefault="00000000" w:rsidP="0077065D">
      <w:r>
        <w:pict w14:anchorId="3D71C534">
          <v:rect id="_x0000_i1056" style="width:0;height:1.5pt" o:hralign="center" o:hrstd="t" o:hr="t" fillcolor="#a0a0a0" stroked="f"/>
        </w:pict>
      </w:r>
    </w:p>
    <w:p w14:paraId="3E8FFF7B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lastRenderedPageBreak/>
        <w:t>I20) Valve Replacement Standards</w:t>
      </w:r>
    </w:p>
    <w:p w14:paraId="3548D904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If valve replacement is authorized, are there utility standards?</w:t>
      </w:r>
    </w:p>
    <w:p w14:paraId="46BA50C2" w14:textId="77777777" w:rsidR="0077065D" w:rsidRPr="0061352D" w:rsidRDefault="0077065D" w:rsidP="0077065D">
      <w:r w:rsidRPr="0061352D">
        <w:t>☐ Specific valve/model required</w:t>
      </w:r>
      <w:r w:rsidRPr="0061352D">
        <w:br/>
        <w:t>☐ General specifications provided</w:t>
      </w:r>
      <w:r w:rsidRPr="0061352D">
        <w:br/>
        <w:t>☐ Contractor standard acceptable</w:t>
      </w:r>
      <w:r w:rsidRPr="0061352D">
        <w:br/>
        <w:t>☐ Not defined</w:t>
      </w:r>
    </w:p>
    <w:p w14:paraId="74B9084D" w14:textId="77777777" w:rsidR="0077065D" w:rsidRPr="0061352D" w:rsidRDefault="00000000" w:rsidP="0077065D">
      <w:r>
        <w:pict w14:anchorId="50A72DF0">
          <v:rect id="_x0000_i1057" style="width:0;height:1.5pt" o:hralign="center" o:hrstd="t" o:hr="t" fillcolor="#a0a0a0" stroked="f"/>
        </w:pict>
      </w:r>
    </w:p>
    <w:p w14:paraId="79806C67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I21) Freeze Kits / Alternative Isolation</w:t>
      </w:r>
    </w:p>
    <w:p w14:paraId="4ECBA420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Are freeze kits or alternative isolation methods permitted?</w:t>
      </w:r>
    </w:p>
    <w:p w14:paraId="75645170" w14:textId="77777777" w:rsidR="0077065D" w:rsidRPr="0061352D" w:rsidRDefault="0077065D" w:rsidP="0077065D">
      <w:r w:rsidRPr="0061352D">
        <w:t>☐ Yes</w:t>
      </w:r>
      <w:r w:rsidRPr="0061352D">
        <w:br/>
        <w:t>☐ No</w:t>
      </w:r>
      <w:r w:rsidRPr="0061352D">
        <w:br/>
        <w:t>☐ Only with utility approval</w:t>
      </w:r>
      <w:r w:rsidRPr="0061352D">
        <w:br/>
        <w:t>☐ Not applicable</w:t>
      </w:r>
      <w:r w:rsidRPr="0061352D">
        <w:br/>
        <w:t>☐ Not defined</w:t>
      </w:r>
    </w:p>
    <w:p w14:paraId="24953285" w14:textId="77777777" w:rsidR="0077065D" w:rsidRPr="0061352D" w:rsidRDefault="00000000" w:rsidP="0077065D">
      <w:r>
        <w:pict w14:anchorId="389A260E">
          <v:rect id="_x0000_i1058" style="width:0;height:1.5pt" o:hralign="center" o:hrstd="t" o:hr="t" fillcolor="#a0a0a0" stroked="f"/>
        </w:pict>
      </w:r>
    </w:p>
    <w:p w14:paraId="0ABFE379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I24) Emergency Leak Response</w:t>
      </w:r>
    </w:p>
    <w:p w14:paraId="7E86538C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If a leak occurs during or immediately after installation, what is the expected response?</w:t>
      </w:r>
    </w:p>
    <w:p w14:paraId="024023B7" w14:textId="77777777" w:rsidR="0077065D" w:rsidRPr="0061352D" w:rsidRDefault="0077065D" w:rsidP="0077065D">
      <w:r w:rsidRPr="0061352D">
        <w:t>☐ Contractor mitigates</w:t>
      </w:r>
      <w:r w:rsidRPr="0061352D">
        <w:br/>
        <w:t>☐ Utility dispatches emergency crew</w:t>
      </w:r>
      <w:r w:rsidRPr="0061352D">
        <w:br/>
        <w:t>☐ Shared response</w:t>
      </w:r>
      <w:r w:rsidRPr="0061352D">
        <w:br/>
        <w:t>☐ Not defined</w:t>
      </w:r>
    </w:p>
    <w:p w14:paraId="71A6CEB6" w14:textId="77777777" w:rsidR="0077065D" w:rsidRPr="0061352D" w:rsidRDefault="00000000" w:rsidP="0077065D">
      <w:r>
        <w:pict w14:anchorId="0CB2C713">
          <v:rect id="_x0000_i1059" style="width:0;height:1.5pt" o:hralign="center" o:hrstd="t" o:hr="t" fillcolor="#a0a0a0" stroked="f"/>
        </w:pict>
      </w:r>
    </w:p>
    <w:p w14:paraId="275514E8" w14:textId="77777777" w:rsidR="0077065D" w:rsidRPr="0061352D" w:rsidRDefault="0077065D" w:rsidP="0077065D">
      <w:pPr>
        <w:rPr>
          <w:b/>
          <w:bCs/>
        </w:rPr>
      </w:pPr>
      <w:r w:rsidRPr="0061352D">
        <w:rPr>
          <w:b/>
          <w:bCs/>
        </w:rPr>
        <w:t>I25) Post-Install Water Restoration Verification</w:t>
      </w:r>
    </w:p>
    <w:p w14:paraId="060FCB59" w14:textId="77777777" w:rsidR="0077065D" w:rsidRPr="0061352D" w:rsidRDefault="0077065D" w:rsidP="0077065D">
      <w:r w:rsidRPr="0061352D">
        <w:rPr>
          <w:b/>
          <w:bCs/>
        </w:rPr>
        <w:t>Question</w:t>
      </w:r>
      <w:r w:rsidRPr="0061352D">
        <w:br/>
        <w:t>What verification is required before restoring service? (Multi-select)</w:t>
      </w:r>
    </w:p>
    <w:p w14:paraId="26F8B840" w14:textId="77777777" w:rsidR="0077065D" w:rsidRPr="0061352D" w:rsidRDefault="0077065D" w:rsidP="0077065D">
      <w:r w:rsidRPr="0061352D">
        <w:t>☐ Visual leak check</w:t>
      </w:r>
      <w:r w:rsidRPr="0061352D">
        <w:br/>
        <w:t>☐ Pressure stabilization</w:t>
      </w:r>
      <w:r w:rsidRPr="0061352D">
        <w:br/>
        <w:t>☐ Customer confirmation</w:t>
      </w:r>
      <w:r w:rsidRPr="0061352D">
        <w:br/>
      </w:r>
      <w:r w:rsidRPr="0061352D">
        <w:lastRenderedPageBreak/>
        <w:t>☐ Documentation/photo</w:t>
      </w:r>
      <w:r w:rsidRPr="0061352D">
        <w:br/>
        <w:t>☐ Not defined</w:t>
      </w:r>
    </w:p>
    <w:p w14:paraId="66532DA2" w14:textId="77777777" w:rsidR="0077065D" w:rsidRDefault="0077065D"/>
    <w:sectPr w:rsidR="00770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59F0"/>
    <w:multiLevelType w:val="multilevel"/>
    <w:tmpl w:val="4CB8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C0016"/>
    <w:multiLevelType w:val="multilevel"/>
    <w:tmpl w:val="F23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46FBC"/>
    <w:multiLevelType w:val="multilevel"/>
    <w:tmpl w:val="892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94F29"/>
    <w:multiLevelType w:val="multilevel"/>
    <w:tmpl w:val="298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335840">
    <w:abstractNumId w:val="1"/>
  </w:num>
  <w:num w:numId="2" w16cid:durableId="253591280">
    <w:abstractNumId w:val="3"/>
  </w:num>
  <w:num w:numId="3" w16cid:durableId="54133634">
    <w:abstractNumId w:val="0"/>
  </w:num>
  <w:num w:numId="4" w16cid:durableId="1939285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5D"/>
    <w:rsid w:val="004567A5"/>
    <w:rsid w:val="006F50DF"/>
    <w:rsid w:val="0077065D"/>
    <w:rsid w:val="00A3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EF74"/>
  <w15:chartTrackingRefBased/>
  <w15:docId w15:val="{B8583F7B-C19F-4FA7-987A-75AC6F3E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65D"/>
  </w:style>
  <w:style w:type="paragraph" w:styleId="Heading1">
    <w:name w:val="heading 1"/>
    <w:basedOn w:val="Normal"/>
    <w:next w:val="Normal"/>
    <w:link w:val="Heading1Char"/>
    <w:uiPriority w:val="9"/>
    <w:qFormat/>
    <w:rsid w:val="0077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1665</Words>
  <Characters>10080</Characters>
  <Application>Microsoft Office Word</Application>
  <DocSecurity>0</DocSecurity>
  <Lines>403</Lines>
  <Paragraphs>199</Paragraphs>
  <ScaleCrop>false</ScaleCrop>
  <Company/>
  <LinksUpToDate>false</LinksUpToDate>
  <CharactersWithSpaces>11546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Shuler</dc:creator>
  <cp:keywords/>
  <dc:description/>
  <cp:lastModifiedBy>Donald Shuler</cp:lastModifiedBy>
  <cp:revision>2</cp:revision>
  <dcterms:created xsi:type="dcterms:W3CDTF">2025-12-22T20:49:00Z</dcterms:created>
  <dcterms:modified xsi:type="dcterms:W3CDTF">2025-12-22T20:49:00Z</dcterms:modified>
</cp:coreProperties>
</file>