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41664B"/>
          <w:sz w:val="20"/>
        </w:rPr>
        <w:t>GREEN CLINIC INTELLIGENCE</w:t>
      </w:r>
    </w:p>
    <w:p>
      <w:pPr>
        <w:spacing w:after="160"/>
      </w:pPr>
      <w:r>
        <w:rPr>
          <w:rFonts w:ascii="Calibri" w:hAnsi="Calibri"/>
          <w:b/>
          <w:color w:val="173E31"/>
          <w:sz w:val="48"/>
        </w:rPr>
        <w:t>Пакет для интеграции с Клиентикс</w:t>
      </w:r>
    </w:p>
    <w:p>
      <w:pPr>
        <w:spacing w:before="0" w:after="280" w:line="276" w:lineRule="auto"/>
      </w:pPr>
      <w:r>
        <w:rPr>
          <w:rFonts w:ascii="Calibri" w:hAnsi="Calibri"/>
          <w:b w:val="0"/>
          <w:color w:val="667085"/>
          <w:sz w:val="24"/>
        </w:rPr>
        <w:t>Единый доступ к рабочей базе знаний, лабораторному каталогу и интерфейсу для команды Клиентикс.</w:t>
      </w:r>
    </w:p>
    <w:tbl>
      <w:tblPr>
        <w:tblW w:type="dxa" w:w="79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36"/>
      </w:tblGrid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E31"/>
                <w:sz w:val="22"/>
              </w:rPr>
              <w:t xml:space="preserve">Что получает Клиентикс: </w:t>
            </w:r>
            <w:r>
              <w:rPr>
                <w:rFonts w:ascii="Calibri" w:hAnsi="Calibri"/>
                <w:b w:val="0"/>
                <w:color w:val="173E31"/>
                <w:sz w:val="22"/>
              </w:rPr>
              <w:t>готовый read-only API. Любое обновление Green Clinic в Supabase становится доступно в Штурмане без ручного импорта файлов.</w:t>
            </w:r>
          </w:p>
        </w:tc>
      </w:tr>
    </w:tbl>
    <w:p>
      <w:pPr>
        <w:keepNext/>
        <w:spacing w:before="280" w:after="140"/>
      </w:pPr>
      <w:r>
        <w:rPr>
          <w:rFonts w:ascii="Calibri" w:hAnsi="Calibri"/>
          <w:b/>
          <w:color w:val="41664B"/>
          <w:sz w:val="30"/>
        </w:rPr>
        <w:t>1. Адреса</w:t>
      </w:r>
    </w:p>
    <w:tbl>
      <w:tblPr>
        <w:tblW w:type="dxa" w:w="79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73E31"/>
                <w:sz w:val="20"/>
              </w:rPr>
              <w:t>Назначение</w:t>
            </w:r>
          </w:p>
        </w:tc>
        <w:tc>
          <w:tcPr>
            <w:tcW w:type="dxa" w:w="5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73E31"/>
                <w:sz w:val="20"/>
              </w:rPr>
              <w:t>Ссылка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color w:val="173E31"/>
                <w:sz w:val="21"/>
              </w:rPr>
              <w:t>Рабочий интерфейс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color w:val="41664B"/>
                <w:sz w:val="21"/>
              </w:rPr>
              <w:t>https://green-clinic-intelligence-green-clinic.vercel.app/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color w:val="173E31"/>
                <w:sz w:val="21"/>
              </w:rPr>
              <w:t>API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color w:val="41664B"/>
                <w:sz w:val="21"/>
              </w:rPr>
              <w:t>https://green-clinic-intelligence-green-clinic.vercel.app/api/knowledge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color w:val="173E31"/>
                <w:sz w:val="21"/>
              </w:rPr>
              <w:t>Исходный код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color w:val="41664B"/>
                <w:sz w:val="21"/>
              </w:rPr>
              <w:t>https://github.com/shultsirish-lang/shturman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color w:val="173E31"/>
                <w:sz w:val="21"/>
              </w:rPr>
              <w:t>Техдокументация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color w:val="41664B"/>
                <w:sz w:val="21"/>
              </w:rPr>
              <w:t>https://github.com/shultsirish-lang/shturman/blob/main/docs/clientix-api.md</w:t>
            </w:r>
          </w:p>
        </w:tc>
      </w:tr>
    </w:tbl>
    <w:p>
      <w:pPr>
        <w:keepNext/>
        <w:spacing w:before="280" w:after="140"/>
      </w:pPr>
      <w:r>
        <w:rPr>
          <w:rFonts w:ascii="Calibri" w:hAnsi="Calibri"/>
          <w:b/>
          <w:color w:val="41664B"/>
          <w:sz w:val="30"/>
        </w:rPr>
        <w:t>2. Правила доступа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F2937"/>
          <w:sz w:val="20"/>
        </w:rPr>
        <w:t>API доступен только на чтение: через него нельзя создать, изменить или удалить карточку.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F2937"/>
          <w:sz w:val="20"/>
        </w:rPr>
        <w:t>Для запросов используется заголовок apikey со значением Supabase Publishable Key Green Clinic. Этот ключ передаётся Green Clinic отдельно.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F2937"/>
          <w:sz w:val="20"/>
        </w:rPr>
        <w:t>Нельзя запрашивать или использовать пароль Supabase, service-role key, строку подключения PostgreSQL и доступ владельца к Vercel.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F2937"/>
          <w:sz w:val="20"/>
        </w:rPr>
        <w:t>Кросс-доменные GET-запросы разрешены: API можно вызывать из веб-интерфейса Клиентикс.</w:t>
      </w:r>
    </w:p>
    <w:p>
      <w:pPr>
        <w:keepNext/>
        <w:spacing w:before="280" w:after="140"/>
      </w:pPr>
      <w:r>
        <w:rPr>
          <w:rFonts w:ascii="Calibri" w:hAnsi="Calibri"/>
          <w:b/>
          <w:color w:val="41664B"/>
          <w:sz w:val="30"/>
        </w:rPr>
        <w:t>3. Методы API</w:t>
      </w:r>
    </w:p>
    <w:tbl>
      <w:tblPr>
        <w:tblW w:type="dxa" w:w="79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73E31"/>
                <w:sz w:val="20"/>
              </w:rPr>
              <w:t>Запрос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73E31"/>
                <w:sz w:val="20"/>
              </w:rPr>
              <w:t>Что возвращает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rFonts w:ascii="Calibri" w:hAnsi="Calibri"/>
                <w:b/>
                <w:color w:val="173E31"/>
                <w:sz w:val="18"/>
              </w:rPr>
              <w:t>GET /health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color w:val="173E31"/>
                <w:sz w:val="18"/>
              </w:rPr>
              <w:t>Статус API и количество карточек.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rFonts w:ascii="Calibri" w:hAnsi="Calibri"/>
                <w:b/>
                <w:color w:val="173E31"/>
                <w:sz w:val="18"/>
              </w:rPr>
              <w:t>GET /modules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color w:val="173E31"/>
                <w:sz w:val="18"/>
              </w:rPr>
              <w:t>Разделы базы знаний и число карточек.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rFonts w:ascii="Calibri" w:hAnsi="Calibri"/>
                <w:b/>
                <w:color w:val="173E31"/>
                <w:sz w:val="18"/>
              </w:rPr>
              <w:t>GET /search?q=герпес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color w:val="173E31"/>
                <w:sz w:val="18"/>
              </w:rPr>
              <w:t>Поиск по жалобе, услуге, анализу, артикулу или сценарию.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rFonts w:ascii="Calibri" w:hAnsi="Calibri"/>
                <w:b/>
                <w:color w:val="173E31"/>
                <w:sz w:val="18"/>
              </w:rPr>
              <w:t>GET /cards/LAB-METHODS-001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color w:val="173E31"/>
                <w:sz w:val="18"/>
              </w:rPr>
              <w:t>Одна сценарная карточка по идентификатору.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rFonts w:ascii="Calibri" w:hAnsi="Calibri"/>
                <w:b/>
                <w:color w:val="173E31"/>
                <w:sz w:val="18"/>
              </w:rPr>
              <w:t>GET /cards?module=Лабораторные анализы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color w:val="173E31"/>
                <w:sz w:val="18"/>
              </w:rPr>
              <w:t>Карточки выбранного раздела.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rFonts w:ascii="Calibri" w:hAnsi="Calibri"/>
                <w:b/>
                <w:color w:val="173E31"/>
                <w:sz w:val="18"/>
              </w:rPr>
              <w:t>GET /lab-catalog?limit=80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color w:val="173E31"/>
                <w:sz w:val="18"/>
              </w:rPr>
              <w:t>Каталог лабораторных исследований.</w:t>
            </w:r>
          </w:p>
        </w:tc>
      </w:tr>
    </w:tbl>
    <w:p>
      <w:pPr>
        <w:keepNext/>
        <w:spacing w:before="280" w:after="140"/>
      </w:pPr>
      <w:r>
        <w:rPr>
          <w:rFonts w:ascii="Calibri" w:hAnsi="Calibri"/>
          <w:b/>
          <w:color w:val="41664B"/>
          <w:sz w:val="30"/>
        </w:rPr>
        <w:t>4. Обязательный формат запроса</w:t>
      </w:r>
    </w:p>
    <w:tbl>
      <w:tblPr>
        <w:tblW w:type="dxa" w:w="79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36"/>
      </w:tblGrid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1F2937"/>
                <w:sz w:val="19"/>
              </w:rPr>
              <w:t>curl -G 'https://green-clinic-intelligence-green-clinic.vercel.app/api/knowledge/search' \</w:t>
              <w:br/>
              <w:t>+  -H 'apikey: &lt;GREEN_CLINIC_PUBLISHABLE_KEY&gt;' \</w:t>
              <w:br/>
              <w:t>+  --data-urlencode 'q=герпес'</w:t>
            </w:r>
          </w:p>
        </w:tc>
      </w:tr>
    </w:tbl>
    <w:p>
      <w:pPr>
        <w:keepNext/>
        <w:spacing w:before="280" w:after="140"/>
      </w:pPr>
      <w:r>
        <w:rPr>
          <w:rFonts w:ascii="Calibri" w:hAnsi="Calibri"/>
          <w:b/>
          <w:color w:val="41664B"/>
          <w:sz w:val="30"/>
        </w:rPr>
        <w:t>5. Как показывать данные в Штурмане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F2937"/>
          <w:sz w:val="20"/>
        </w:rPr>
        <w:t>При вводе сотрудником запроса отправляйте GET /search?q=&lt;текст пациента&gt;.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F2937"/>
          <w:sz w:val="20"/>
        </w:rPr>
        <w:t>Сначала показывайте название и краткий ответ; подробности открывайте по действию «Открыть».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F2937"/>
          <w:sz w:val="20"/>
        </w:rPr>
        <w:t>Для лабораторных исследований показывайте: название, метод, артикул Green Clinic, цену, тип биоматериала, подготовку и срок выполнения.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F2937"/>
          <w:sz w:val="20"/>
        </w:rPr>
        <w:t>Для сценарных карточек не интерпретируйте медицинские результаты: текст служит подсказкой администратору.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F2937"/>
          <w:sz w:val="20"/>
        </w:rPr>
        <w:t>Не копируйте справочник вручную. Запрашивайте API при поиске; локальный кэш используйте только как краткий резерв при недоступности сети.</w:t>
      </w:r>
    </w:p>
    <w:p>
      <w:pPr>
        <w:keepNext/>
        <w:spacing w:before="280" w:after="140"/>
      </w:pPr>
      <w:r>
        <w:rPr>
          <w:rFonts w:ascii="Calibri" w:hAnsi="Calibri"/>
          <w:b/>
          <w:color w:val="41664B"/>
          <w:sz w:val="30"/>
        </w:rPr>
        <w:t>6. Проверка после подключения</w:t>
      </w:r>
    </w:p>
    <w:tbl>
      <w:tblPr>
        <w:tblW w:type="dxa" w:w="79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73E31"/>
                <w:sz w:val="20"/>
              </w:rPr>
              <w:t>№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73E31"/>
                <w:sz w:val="20"/>
              </w:rPr>
              <w:t>Проверка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rFonts w:ascii="Calibri" w:hAnsi="Calibri"/>
                <w:b/>
                <w:color w:val="173E31"/>
                <w:sz w:val="18"/>
              </w:rPr>
              <w:t>1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color w:val="173E31"/>
                <w:sz w:val="18"/>
              </w:rPr>
              <w:t>GET /health возвращает status: ok.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rFonts w:ascii="Calibri" w:hAnsi="Calibri"/>
                <w:b/>
                <w:color w:val="173E31"/>
                <w:sz w:val="18"/>
              </w:rPr>
              <w:t>2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color w:val="173E31"/>
                <w:sz w:val="18"/>
              </w:rPr>
              <w:t>Поиск «герпес» возвращает карточки и лабораторные исследования.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rFonts w:ascii="Calibri" w:hAnsi="Calibri"/>
                <w:b/>
                <w:color w:val="173E31"/>
                <w:sz w:val="18"/>
              </w:rPr>
              <w:t>3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color w:val="173E31"/>
                <w:sz w:val="18"/>
              </w:rPr>
              <w:t>Поиск «иммуноблот» находит LAB-METHODS-001.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rFonts w:ascii="Calibri" w:hAnsi="Calibri"/>
                <w:b/>
                <w:color w:val="173E31"/>
                <w:sz w:val="18"/>
              </w:rPr>
              <w:t>4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color w:val="173E31"/>
                <w:sz w:val="18"/>
              </w:rPr>
              <w:t>В лабораторной карточке отображаются цена, артикул, биоматериал, подготовка и срок выполнения.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rFonts w:ascii="Calibri" w:hAnsi="Calibri"/>
                <w:b/>
                <w:color w:val="173E31"/>
                <w:sz w:val="18"/>
              </w:rPr>
              <w:t>5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color w:val="173E31"/>
                <w:sz w:val="18"/>
              </w:rPr>
              <w:t>Любая новая карточка, добавленная Green Clinic, появляется в поиске без обновления интеграции Клиентикс.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152" w:bottom="792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7085"/>
        <w:sz w:val="16"/>
      </w:rPr>
      <w:t>Технический пакет интеграции · актуальные данные доступны через API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7"/>
      </w:rPr>
      <w:t>GREEN CLINIC  |  CLIENTIX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