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Dentra 逐牙初稿与 Slicer 精修操作指南</w:t>
      </w:r>
    </w:p>
    <w:p>
      <w:pPr>
        <w:pStyle w:val="Subtitle"/>
      </w:pPr>
      <w:r>
        <w:t>版本 v0.3    2026年10月20日</w:t>
        <w:br/>
        <w:t>Windows Slicer 与 WSL 本地推理</w:t>
      </w:r>
    </w:p>
    <w:p>
      <w:pPr>
        <w:pStyle w:val="Heading1"/>
      </w:pPr>
      <w:r>
        <w:t>1 使用范围与快速开始</w:t>
      </w:r>
    </w:p>
    <w:p>
      <w:pPr>
        <w:widowControl/>
      </w:pPr>
      <w:r>
        <w:t>本指南面向医生与本地工程维护人员，说明如何用固定预训练模型生成CBCT三维分割初稿，再进入Slicer精修、独立复核和版本保存。已有精标仍可直接打开精修。当前工具不训练模型，不接入2.5D推理，不使用G04。</w:t>
      </w:r>
    </w:p>
    <w:p>
      <w:pPr>
        <w:pStyle w:val="Heading2"/>
      </w:pPr>
      <w:r>
        <w:t>本轮可以完成的工作</w:t>
      </w:r>
    </w:p>
    <w:p>
      <w:pPr>
        <w:widowControl/>
      </w:pPr>
      <w:r>
        <w:t>Dentra v0.3新增逐牙模式：ToothSeg双分支固定权重输出牙体实例，采用保留前景的Dentra组装并提供FDI建议。先在“初稿模型”选择模式，再检查部署和生成。五类结构与逐牙结果分开保存，不互相覆盖。</w:t>
      </w:r>
    </w:p>
    <w:p>
      <w:pPr>
        <w:widowControl/>
      </w:pPr>
      <w:r>
        <w:t>DentalSegmentator v100生成五类结构初稿：上颅骨含上颌、下颌骨、上牙群、下牙群和下颌管。随后在工作副本上使用画笔、擦除等工具精修，保留模型初稿与医生改动的来源区别。</w:t>
      </w:r>
    </w:p>
    <w:p>
      <w:pPr>
        <w:widowControl/>
      </w:pPr>
      <w:r>
        <w:t>这些类别不等于逐牙FDI实例或精细牙槽骨标注。模型不输出D/F诊断。没有自动平滑或填洞，仍不能保证模型预测保留每处薄骨板或真实缺损；薄骨板、开窗和开裂必须分别看原图复核。</w:t>
      </w:r>
    </w:p>
    <w:p>
      <w:pPr>
        <w:pStyle w:val="Heading2"/>
      </w:pPr>
      <w:r>
        <w:t>本机已部署时的最短流程</w:t>
      </w:r>
    </w:p>
    <w:p>
      <w:pPr>
        <w:ind w:left="202" w:hanging="202"/>
      </w:pPr>
      <w:r>
        <w:t>1. 解压整个交付目录到固定位置，双击Start_Dentra.cmd。</w:t>
      </w:r>
    </w:p>
    <w:p>
      <w:pPr>
        <w:ind w:left="202" w:hanging="202"/>
      </w:pPr>
      <w:r>
        <w:t>2. 在Slicer中载入独立3D标注流程的CBCT，选择匿名病例ID和已加载影像。</w:t>
      </w:r>
    </w:p>
    <w:p>
      <w:pPr>
        <w:ind w:left="202" w:hanging="202"/>
      </w:pPr>
      <w:r>
        <w:t>3. 点击“检查本机模型与GPU”；通过后确认输入范围，点击“生成初稿并进入精修”。</w:t>
      </w:r>
    </w:p>
    <w:p>
      <w:pPr>
        <w:ind w:left="202" w:hanging="202"/>
      </w:pPr>
      <w:r>
        <w:t>4. 初稿导入后，核对影像对应关系，逐段确认模型类别；在副本上精修。</w:t>
      </w:r>
    </w:p>
    <w:p>
      <w:pPr>
        <w:ind w:left="202" w:hanging="202"/>
      </w:pPr>
      <w:r>
        <w:t>5. 分别复核薄骨板、开窗和开裂，并逐一处理疑点标记。</w:t>
      </w:r>
    </w:p>
    <w:p>
      <w:pPr>
        <w:ind w:left="202" w:hanging="202"/>
      </w:pPr>
      <w:r>
        <w:t>6. 运行质控，另存新版本；下次使用同一CBCT、初稿源文件和版本目录恢复。</w:t>
      </w:r>
    </w:p>
    <w:p>
      <w:pPr>
        <w:pStyle w:val="Heading2"/>
      </w:pPr>
      <w:r>
        <w:t>阅读导航</w:t>
      </w:r>
    </w:p>
    <w:p>
      <w:pPr>
        <w:widowControl/>
      </w:pPr>
      <w:r>
        <w:t>首次部署见第2和第3节；医生日常操作见第4至第8节；版本恢复与故障处理见第9和第10节。第11节给出测试边界和验收清单，第12和第13节说明逐牙编号与模型限制，第14节供工程人员接管。</w:t>
      </w:r>
    </w:p>
    <w:p>
      <w:r>
        <w:br w:type="page"/>
      </w:r>
    </w:p>
    <w:p>
      <w:pPr>
        <w:pStyle w:val="Heading1"/>
      </w:pPr>
      <w:r>
        <w:t>2 本机环境与模型类别</w:t>
      </w:r>
    </w:p>
    <w:p>
      <w:pPr>
        <w:pStyle w:val="Heading2"/>
      </w:pPr>
      <w:r>
        <w:t>部署位置</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tblHeader/>
        </w:trPr>
        <w:tc>
          <w:tcPr>
            <w:tcW w:type="dxa" w:w="1512"/>
            <w:shd w:fill="E8EEF1"/>
            <w:vAlign w:val="center"/>
          </w:tcPr>
          <w:p>
            <w:pPr>
              <w:spacing w:after="80" w:before="60" w:line="264" w:lineRule="auto"/>
            </w:pPr>
            <w:r>
              <w:rPr>
                <w:b/>
                <w:sz w:val="21"/>
              </w:rPr>
              <w:t>组件</w:t>
            </w:r>
          </w:p>
        </w:tc>
        <w:tc>
          <w:tcPr>
            <w:tcW w:type="dxa" w:w="8568"/>
            <w:shd w:fill="E8EEF1"/>
            <w:vAlign w:val="center"/>
          </w:tcPr>
          <w:p>
            <w:pPr>
              <w:spacing w:after="80" w:before="60" w:line="264" w:lineRule="auto"/>
            </w:pPr>
            <w:r>
              <w:rPr>
                <w:b/>
                <w:sz w:val="21"/>
              </w:rPr>
              <w:t>本机配置</w:t>
            </w:r>
          </w:p>
        </w:tc>
      </w:tr>
      <w:tr>
        <w:trPr>
          <w:cantSplit/>
        </w:trPr>
        <w:tc>
          <w:tcPr>
            <w:tcW w:type="dxa" w:w="1512"/>
            <w:vAlign w:val="center"/>
          </w:tcPr>
          <w:p>
            <w:pPr>
              <w:spacing w:after="80" w:before="60" w:line="264" w:lineRule="auto"/>
            </w:pPr>
            <w:r>
              <w:rPr>
                <w:sz w:val="21"/>
              </w:rPr>
              <w:t>显示与精修</w:t>
            </w:r>
          </w:p>
        </w:tc>
        <w:tc>
          <w:tcPr>
            <w:tcW w:type="dxa" w:w="8568"/>
            <w:vAlign w:val="center"/>
          </w:tcPr>
          <w:p>
            <w:pPr>
              <w:spacing w:after="80" w:before="60" w:line="264" w:lineRule="auto"/>
            </w:pPr>
            <w:r>
              <w:rPr>
                <w:sz w:val="21"/>
              </w:rPr>
              <w:t>Windows 3D Slicer 5.10.0</w:t>
            </w:r>
          </w:p>
        </w:tc>
      </w:tr>
      <w:tr>
        <w:trPr>
          <w:cantSplit/>
        </w:trPr>
        <w:tc>
          <w:tcPr>
            <w:tcW w:type="dxa" w:w="1512"/>
            <w:vAlign w:val="center"/>
          </w:tcPr>
          <w:p>
            <w:pPr>
              <w:spacing w:after="80" w:before="60" w:line="264" w:lineRule="auto"/>
            </w:pPr>
            <w:r>
              <w:rPr>
                <w:sz w:val="21"/>
              </w:rPr>
              <w:t>推理环境</w:t>
            </w:r>
          </w:p>
        </w:tc>
        <w:tc>
          <w:tcPr>
            <w:tcW w:type="dxa" w:w="8568"/>
            <w:vAlign w:val="center"/>
          </w:tcPr>
          <w:p>
            <w:pPr>
              <w:spacing w:after="80" w:before="60" w:line="264" w:lineRule="auto"/>
            </w:pPr>
            <w:r>
              <w:rPr>
                <w:sz w:val="21"/>
              </w:rPr>
              <w:t>WSL Ubuntu-22.04；隔离venv dentra_v03</w:t>
            </w:r>
          </w:p>
        </w:tc>
      </w:tr>
      <w:tr>
        <w:trPr>
          <w:cantSplit/>
        </w:trPr>
        <w:tc>
          <w:tcPr>
            <w:tcW w:type="dxa" w:w="1512"/>
            <w:vAlign w:val="center"/>
          </w:tcPr>
          <w:p>
            <w:pPr>
              <w:spacing w:after="80" w:before="60" w:line="264" w:lineRule="auto"/>
            </w:pPr>
            <w:r>
              <w:rPr>
                <w:sz w:val="21"/>
              </w:rPr>
              <w:t>GPU</w:t>
            </w:r>
          </w:p>
        </w:tc>
        <w:tc>
          <w:tcPr>
            <w:tcW w:type="dxa" w:w="8568"/>
            <w:vAlign w:val="center"/>
          </w:tcPr>
          <w:p>
            <w:pPr>
              <w:spacing w:after="80" w:before="60" w:line="264" w:lineRule="auto"/>
            </w:pPr>
            <w:r>
              <w:rPr>
                <w:sz w:val="21"/>
              </w:rPr>
              <w:t>GPU 1 NVIDIA RTX PRO 5000 Blackwell，约48GB显存</w:t>
            </w:r>
          </w:p>
        </w:tc>
      </w:tr>
      <w:tr>
        <w:trPr>
          <w:cantSplit/>
        </w:trPr>
        <w:tc>
          <w:tcPr>
            <w:tcW w:type="dxa" w:w="1512"/>
            <w:vAlign w:val="center"/>
          </w:tcPr>
          <w:p>
            <w:pPr>
              <w:spacing w:after="80" w:before="60" w:line="264" w:lineRule="auto"/>
            </w:pPr>
            <w:r>
              <w:rPr>
                <w:sz w:val="21"/>
              </w:rPr>
              <w:t>推理软件</w:t>
            </w:r>
          </w:p>
        </w:tc>
        <w:tc>
          <w:tcPr>
            <w:tcW w:type="dxa" w:w="8568"/>
            <w:vAlign w:val="center"/>
          </w:tcPr>
          <w:p>
            <w:pPr>
              <w:spacing w:after="80" w:before="60" w:line="264" w:lineRule="auto"/>
            </w:pPr>
            <w:r>
              <w:rPr>
                <w:sz w:val="21"/>
              </w:rPr>
              <w:t>nnU-Net 2.8.1；PyTorch 2.10.0 CUDA 12.8</w:t>
            </w:r>
          </w:p>
        </w:tc>
      </w:tr>
      <w:tr>
        <w:trPr>
          <w:cantSplit/>
        </w:trPr>
        <w:tc>
          <w:tcPr>
            <w:tcW w:type="dxa" w:w="1512"/>
            <w:vAlign w:val="center"/>
          </w:tcPr>
          <w:p>
            <w:pPr>
              <w:spacing w:after="80" w:before="60" w:line="264" w:lineRule="auto"/>
            </w:pPr>
            <w:r>
              <w:rPr>
                <w:sz w:val="21"/>
              </w:rPr>
              <w:t>权重目录</w:t>
            </w:r>
          </w:p>
        </w:tc>
        <w:tc>
          <w:tcPr>
            <w:tcW w:type="dxa" w:w="8568"/>
            <w:vAlign w:val="center"/>
          </w:tcPr>
          <w:p>
            <w:pPr>
              <w:spacing w:after="80" w:before="60" w:line="264" w:lineRule="auto"/>
            </w:pPr>
            <w:r>
              <w:rPr>
                <w:sz w:val="21"/>
              </w:rPr>
              <w:t>/home/shu/models/cbct_draft/DentalSegmentator_v100</w:t>
            </w:r>
          </w:p>
        </w:tc>
      </w:tr>
      <w:tr>
        <w:trPr>
          <w:cantSplit/>
        </w:trPr>
        <w:tc>
          <w:tcPr>
            <w:tcW w:type="dxa" w:w="1512"/>
            <w:vAlign w:val="center"/>
          </w:tcPr>
          <w:p>
            <w:pPr>
              <w:spacing w:after="80" w:before="60" w:line="264" w:lineRule="auto"/>
            </w:pPr>
            <w:r>
              <w:rPr>
                <w:sz w:val="21"/>
              </w:rPr>
              <w:t>标注数据</w:t>
            </w:r>
          </w:p>
        </w:tc>
        <w:tc>
          <w:tcPr>
            <w:tcW w:type="dxa" w:w="8568"/>
            <w:vAlign w:val="center"/>
          </w:tcPr>
          <w:p>
            <w:pPr>
              <w:spacing w:after="80" w:before="60" w:line="264" w:lineRule="auto"/>
            </w:pPr>
            <w:r>
              <w:rPr>
                <w:sz w:val="21"/>
              </w:rPr>
              <w:t>E:\3D；仅本地读取，不随代码包分发</w:t>
            </w:r>
          </w:p>
        </w:tc>
      </w:tr>
    </w:tbl>
    <w:p>
      <w:pPr>
        <w:spacing w:after="0"/>
      </w:pPr>
    </w:p>
    <w:p>
      <w:pPr>
        <w:widowControl/>
      </w:pPr>
      <w:r>
        <w:t>WSL可见内存约31GiB，现有swap约64GiB。本轮未更改系统配置。E盘余量较少，权重和依赖放在WSL磁盘，任务目录默认写入D盘工作区。环境检查要求GPU可用且空闲显存至少12GiB；不满足时先查占用，不改模型分辨率或patch来强行运行。</w:t>
      </w:r>
    </w:p>
    <w:p>
      <w:pPr>
        <w:pStyle w:val="Heading2"/>
      </w:pPr>
      <w:r>
        <w:t>初稿类别的含义</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808"/>
        <w:gridCol w:w="6120"/>
      </w:tblGrid>
      <w:tr>
        <w:trPr>
          <w:tblHeader/>
        </w:trPr>
        <w:tc>
          <w:tcPr>
            <w:tcW w:type="dxa" w:w="1152"/>
            <w:shd w:fill="E8EEF1"/>
            <w:vAlign w:val="center"/>
          </w:tcPr>
          <w:p>
            <w:pPr>
              <w:spacing w:after="80" w:before="60" w:line="264" w:lineRule="auto"/>
            </w:pPr>
            <w:r>
              <w:rPr>
                <w:b/>
                <w:sz w:val="21"/>
              </w:rPr>
              <w:t>标签</w:t>
            </w:r>
          </w:p>
        </w:tc>
        <w:tc>
          <w:tcPr>
            <w:tcW w:type="dxa" w:w="2808"/>
            <w:shd w:fill="E8EEF1"/>
            <w:vAlign w:val="center"/>
          </w:tcPr>
          <w:p>
            <w:pPr>
              <w:spacing w:after="80" w:before="60" w:line="264" w:lineRule="auto"/>
            </w:pPr>
            <w:r>
              <w:rPr>
                <w:b/>
                <w:sz w:val="21"/>
              </w:rPr>
              <w:t>界面类别</w:t>
            </w:r>
          </w:p>
        </w:tc>
        <w:tc>
          <w:tcPr>
            <w:tcW w:type="dxa" w:w="6120"/>
            <w:shd w:fill="E8EEF1"/>
            <w:vAlign w:val="center"/>
          </w:tcPr>
          <w:p>
            <w:pPr>
              <w:spacing w:after="80" w:before="60" w:line="264" w:lineRule="auto"/>
            </w:pPr>
            <w:r>
              <w:rPr>
                <w:b/>
                <w:sz w:val="21"/>
              </w:rPr>
              <w:t>确认边界</w:t>
            </w:r>
          </w:p>
        </w:tc>
      </w:tr>
      <w:tr>
        <w:trPr>
          <w:cantSplit/>
        </w:trPr>
        <w:tc>
          <w:tcPr>
            <w:tcW w:type="dxa" w:w="1152"/>
            <w:vAlign w:val="center"/>
          </w:tcPr>
          <w:p>
            <w:pPr>
              <w:spacing w:after="80" w:before="60" w:line="264" w:lineRule="auto"/>
            </w:pPr>
            <w:r>
              <w:rPr>
                <w:sz w:val="21"/>
              </w:rPr>
              <w:t>1</w:t>
            </w:r>
          </w:p>
        </w:tc>
        <w:tc>
          <w:tcPr>
            <w:tcW w:type="dxa" w:w="2808"/>
            <w:vAlign w:val="center"/>
          </w:tcPr>
          <w:p>
            <w:pPr>
              <w:spacing w:after="80" w:before="60" w:line="264" w:lineRule="auto"/>
            </w:pPr>
            <w:r>
              <w:rPr>
                <w:sz w:val="21"/>
              </w:rPr>
              <w:t>upper_skull_maxilla</w:t>
            </w:r>
          </w:p>
        </w:tc>
        <w:tc>
          <w:tcPr>
            <w:tcW w:type="dxa" w:w="6120"/>
            <w:vAlign w:val="center"/>
          </w:tcPr>
          <w:p>
            <w:pPr>
              <w:spacing w:after="80" w:before="60" w:line="264" w:lineRule="auto"/>
            </w:pPr>
            <w:r>
              <w:rPr>
                <w:sz w:val="21"/>
              </w:rPr>
              <w:t>上颅骨及上颌范围；不是精细牙槽骨真值</w:t>
            </w:r>
          </w:p>
        </w:tc>
      </w:tr>
      <w:tr>
        <w:trPr>
          <w:cantSplit/>
        </w:trPr>
        <w:tc>
          <w:tcPr>
            <w:tcW w:type="dxa" w:w="1152"/>
            <w:vAlign w:val="center"/>
          </w:tcPr>
          <w:p>
            <w:pPr>
              <w:spacing w:after="80" w:before="60" w:line="264" w:lineRule="auto"/>
            </w:pPr>
            <w:r>
              <w:rPr>
                <w:sz w:val="21"/>
              </w:rPr>
              <w:t>2</w:t>
            </w:r>
          </w:p>
        </w:tc>
        <w:tc>
          <w:tcPr>
            <w:tcW w:type="dxa" w:w="2808"/>
            <w:vAlign w:val="center"/>
          </w:tcPr>
          <w:p>
            <w:pPr>
              <w:spacing w:after="80" w:before="60" w:line="264" w:lineRule="auto"/>
            </w:pPr>
            <w:r>
              <w:rPr>
                <w:sz w:val="21"/>
              </w:rPr>
              <w:t>mandible</w:t>
            </w:r>
          </w:p>
        </w:tc>
        <w:tc>
          <w:tcPr>
            <w:tcW w:type="dxa" w:w="6120"/>
            <w:vAlign w:val="center"/>
          </w:tcPr>
          <w:p>
            <w:pPr>
              <w:spacing w:after="80" w:before="60" w:line="264" w:lineRule="auto"/>
            </w:pPr>
            <w:r>
              <w:rPr>
                <w:sz w:val="21"/>
              </w:rPr>
              <w:t>下颌骨整体类别</w:t>
            </w:r>
          </w:p>
        </w:tc>
      </w:tr>
      <w:tr>
        <w:trPr>
          <w:cantSplit/>
        </w:trPr>
        <w:tc>
          <w:tcPr>
            <w:tcW w:type="dxa" w:w="1152"/>
            <w:vAlign w:val="center"/>
          </w:tcPr>
          <w:p>
            <w:pPr>
              <w:spacing w:after="80" w:before="60" w:line="264" w:lineRule="auto"/>
            </w:pPr>
            <w:r>
              <w:rPr>
                <w:sz w:val="21"/>
              </w:rPr>
              <w:t>3</w:t>
            </w:r>
          </w:p>
        </w:tc>
        <w:tc>
          <w:tcPr>
            <w:tcW w:type="dxa" w:w="2808"/>
            <w:vAlign w:val="center"/>
          </w:tcPr>
          <w:p>
            <w:pPr>
              <w:spacing w:after="80" w:before="60" w:line="264" w:lineRule="auto"/>
            </w:pPr>
            <w:r>
              <w:rPr>
                <w:sz w:val="21"/>
              </w:rPr>
              <w:t>upper_teeth_group</w:t>
            </w:r>
          </w:p>
        </w:tc>
        <w:tc>
          <w:tcPr>
            <w:tcW w:type="dxa" w:w="6120"/>
            <w:vAlign w:val="center"/>
          </w:tcPr>
          <w:p>
            <w:pPr>
              <w:spacing w:after="80" w:before="60" w:line="264" w:lineRule="auto"/>
            </w:pPr>
            <w:r>
              <w:rPr>
                <w:sz w:val="21"/>
              </w:rPr>
              <w:t>上牙群；无逐牙编号</w:t>
            </w:r>
          </w:p>
        </w:tc>
      </w:tr>
      <w:tr>
        <w:trPr>
          <w:cantSplit/>
        </w:trPr>
        <w:tc>
          <w:tcPr>
            <w:tcW w:type="dxa" w:w="1152"/>
            <w:vAlign w:val="center"/>
          </w:tcPr>
          <w:p>
            <w:pPr>
              <w:spacing w:after="80" w:before="60" w:line="264" w:lineRule="auto"/>
            </w:pPr>
            <w:r>
              <w:rPr>
                <w:sz w:val="21"/>
              </w:rPr>
              <w:t>4</w:t>
            </w:r>
          </w:p>
        </w:tc>
        <w:tc>
          <w:tcPr>
            <w:tcW w:type="dxa" w:w="2808"/>
            <w:vAlign w:val="center"/>
          </w:tcPr>
          <w:p>
            <w:pPr>
              <w:spacing w:after="80" w:before="60" w:line="264" w:lineRule="auto"/>
            </w:pPr>
            <w:r>
              <w:rPr>
                <w:sz w:val="21"/>
              </w:rPr>
              <w:t>lower_teeth_group</w:t>
            </w:r>
          </w:p>
        </w:tc>
        <w:tc>
          <w:tcPr>
            <w:tcW w:type="dxa" w:w="6120"/>
            <w:vAlign w:val="center"/>
          </w:tcPr>
          <w:p>
            <w:pPr>
              <w:spacing w:after="80" w:before="60" w:line="264" w:lineRule="auto"/>
            </w:pPr>
            <w:r>
              <w:rPr>
                <w:sz w:val="21"/>
              </w:rPr>
              <w:t>下牙群；无逐牙编号</w:t>
            </w:r>
          </w:p>
        </w:tc>
      </w:tr>
      <w:tr>
        <w:trPr>
          <w:cantSplit/>
        </w:trPr>
        <w:tc>
          <w:tcPr>
            <w:tcW w:type="dxa" w:w="1152"/>
            <w:vAlign w:val="center"/>
          </w:tcPr>
          <w:p>
            <w:pPr>
              <w:spacing w:after="80" w:before="60" w:line="264" w:lineRule="auto"/>
            </w:pPr>
            <w:r>
              <w:rPr>
                <w:sz w:val="21"/>
              </w:rPr>
              <w:t>5</w:t>
            </w:r>
          </w:p>
        </w:tc>
        <w:tc>
          <w:tcPr>
            <w:tcW w:type="dxa" w:w="2808"/>
            <w:vAlign w:val="center"/>
          </w:tcPr>
          <w:p>
            <w:pPr>
              <w:spacing w:after="80" w:before="60" w:line="264" w:lineRule="auto"/>
            </w:pPr>
            <w:r>
              <w:rPr>
                <w:sz w:val="21"/>
              </w:rPr>
              <w:t>mandibular_canal</w:t>
            </w:r>
          </w:p>
        </w:tc>
        <w:tc>
          <w:tcPr>
            <w:tcW w:type="dxa" w:w="6120"/>
            <w:vAlign w:val="center"/>
          </w:tcPr>
          <w:p>
            <w:pPr>
              <w:spacing w:after="80" w:before="60" w:line="264" w:lineRule="auto"/>
            </w:pPr>
            <w:r>
              <w:rPr>
                <w:sz w:val="21"/>
              </w:rPr>
              <w:t>下颌管模型类别</w:t>
            </w:r>
          </w:p>
        </w:tc>
      </w:tr>
    </w:tbl>
    <w:p>
      <w:pPr>
        <w:spacing w:after="0"/>
      </w:pPr>
    </w:p>
    <w:p>
      <w:pPr>
        <w:widowControl/>
      </w:pPr>
      <w:r>
        <w:t>不在视野内的类别可能没有前景。工具不为缺失类别造出掩膜。临床牙位、组织边界与D/F定义仍由医生确认。</w:t>
      </w:r>
    </w:p>
    <w:p>
      <w:pPr>
        <w:widowControl/>
      </w:pPr>
      <w:r>
        <w:t>逐牙模式另需ToothSeg公开权重，约920MB；模型根目录写在config/local_backend.json的toothseg_model_root。本机使用GPU 1，要求至少36GiB空闲显存、输入不超过1.25亿体素。模型内部按checkpoint计划归一化与重采样，最终回到原始CBCT格点；原图和现有精标不改写。</w:t>
      </w:r>
    </w:p>
    <w:p>
      <w:r>
        <w:br w:type="page"/>
      </w:r>
    </w:p>
    <w:p>
      <w:pPr>
        <w:pStyle w:val="Heading1"/>
      </w:pPr>
      <w:r>
        <w:t>3 首次部署与文件校验</w:t>
      </w:r>
    </w:p>
    <w:p>
      <w:pPr>
        <w:widowControl/>
      </w:pPr>
      <w:r>
        <w:t>本轮已在当前机器完成部署，日常使用可直接进入下一节。迁到另一台电脑、移动WSL环境或更换底层PyTorch后，应重新检查部署，不能沿用本机测试结论。</w:t>
      </w:r>
    </w:p>
    <w:p>
      <w:pPr>
        <w:pStyle w:val="Heading2"/>
      </w:pPr>
      <w:r>
        <w:t>一次性安装步骤</w:t>
      </w:r>
    </w:p>
    <w:p>
      <w:pPr>
        <w:ind w:left="202" w:hanging="202"/>
      </w:pPr>
      <w:r>
        <w:t>1. 保持整个交付目录结构完整，不要只复制CBCTSegReview.py。</w:t>
      </w:r>
    </w:p>
    <w:p>
      <w:pPr>
        <w:ind w:left="202" w:hanging="202"/>
      </w:pPr>
      <w:r>
        <w:t>2. 检查config/local_backend.json中的WSL发行版、隔离Python和模型目录。本机值已填写。</w:t>
      </w:r>
    </w:p>
    <w:p>
      <w:pPr>
        <w:ind w:left="202" w:hanging="202"/>
      </w:pPr>
      <w:r>
        <w:t>3. 在WSL Bash终端进入解压目录；用已有的科研Python执行tools/install_backend.py。不要在Slicer Python控制台执行安装脚本。</w:t>
      </w:r>
    </w:p>
    <w:p>
      <w:pPr>
        <w:ind w:left="202" w:hanging="202"/>
      </w:pPr>
      <w:r>
        <w:t>4. 脚本下载公开权重、校验大小及MD5/SHA-256、检查ZIP CRC，只解压清单内的有效模型文件；在独立venv安装新增依赖，最后运行预检。</w:t>
      </w:r>
    </w:p>
    <w:p>
      <w:r>
        <w:rPr>
          <w:rFonts w:ascii="Consolas" w:hAnsi="Consolas"/>
          <w:sz w:val="18"/>
        </w:rPr>
        <w:t>/home/shu/miniconda/envs/cxr_torch5090/bin/python \</w:t>
        <w:br/>
        <w:t xml:space="preserve">  tools/install_backend.py</w:t>
      </w:r>
    </w:p>
    <w:p>
      <w:pPr>
        <w:widowControl/>
      </w:pPr>
      <w:r>
        <w:t>该venv通过system-site-packages只读继承现有PyTorch等基础包，新增nnU-Net依赖写入venv自身。这是隔离覆盖层，不是完全独立复制的运行时；原2.5D环境没有安装nnU-Net或改变timm/PyTorch版本。</w:t>
      </w:r>
    </w:p>
    <w:p>
      <w:pPr>
        <w:pStyle w:val="Heading2"/>
      </w:pPr>
      <w:r>
        <w:t>权重校验依据</w:t>
      </w:r>
    </w:p>
    <w:p>
      <w:pPr>
        <w:widowControl/>
      </w:pPr>
      <w:r>
        <w:t>公开文件为Dataset112_DentalSegmentator_v100.zip，大小229,747,861字节。官方MD5：b71cd5230168d28a4f71b078265b76be。SHA-256及每个checkpoint/plans/dataset文件的指纹保存在config/model_manifest.json。</w:t>
      </w:r>
    </w:p>
    <w:p>
      <w:pPr>
        <w:widowControl/>
      </w:pPr>
      <w:r>
        <w:t>下载中断会保留.partial文件并尝试续传；校验未通过不会加载模型。代码ZIP不包含模型权重或患者影像。DentalSegmentator权重记录采用CC BY 4.0，相关代码采用Apache 2.0；保留原模型与nnU-Net文献引用。[1–3]</w:t>
      </w:r>
    </w:p>
    <w:p>
      <w:pPr>
        <w:pStyle w:val="Heading2"/>
      </w:pPr>
      <w:r>
        <w:t>启动入口</w:t>
      </w:r>
    </w:p>
    <w:p>
      <w:pPr>
        <w:widowControl/>
      </w:pPr>
      <w:r>
        <w:t>双击Start_Dentra.cmd可临时加载模块，不改变永久模块路径。若Slicer安装位置不同，在PowerShell中运行Launch_Slicer_Review.ps1，并用-SlicerPath指定Slicer.exe。CMake扩展发布路径尚未测试，本机验证的是直接模块加载。</w:t>
      </w:r>
    </w:p>
    <w:p>
      <w:pPr>
        <w:pStyle w:val="Heading2"/>
      </w:pPr>
      <w:r>
        <w:t>从GitHub克隆后的配置</w:t>
      </w:r>
    </w:p>
    <w:p>
      <w:pPr>
        <w:widowControl/>
      </w:pPr>
      <w:r>
        <w:t>GitHub仓库不包含本机配置、患者数据或模型权重。将config/local_backend.example.json复制为local_backend.json并修改USER、WSL发行版和GPU配置适配前先审查冻结协议。若当前机器已部署，直接保留本机local_backend.json。</w:t>
      </w:r>
    </w:p>
    <w:p>
      <w:r>
        <w:rPr>
          <w:rFonts w:ascii="Consolas" w:hAnsi="Consolas"/>
          <w:sz w:val="18"/>
        </w:rPr>
        <w:t>python tools/install_backend.py --provider toothseg</w:t>
        <w:br/>
        <w:t>python tools/install_backend.py --provider dental</w:t>
      </w:r>
    </w:p>
    <w:p>
      <w:pPr>
        <w:widowControl/>
      </w:pPr>
      <w:r>
        <w:t>安装命令在兼容CUDA PyTorch的WSL科研Python下运行，安装器在独立venv中安装新增依赖；不要使用Slicer Python。迁移到显存不足的机器时先停止，不自动修改patch、spacing或降低模型。</w:t>
      </w:r>
    </w:p>
    <w:p>
      <w:r>
        <w:br w:type="page"/>
      </w:r>
    </w:p>
    <w:p>
      <w:pPr>
        <w:pStyle w:val="Heading1"/>
      </w:pPr>
      <w:r>
        <w:t>4 载入影像并检查部署</w:t>
      </w:r>
    </w:p>
    <w:p>
      <w:pPr>
        <w:pStyle w:val="Heading2"/>
      </w:pPr>
      <w:r>
        <w:t>在Slicer载入正确的CBCT</w:t>
      </w:r>
    </w:p>
    <w:p>
      <w:pPr>
        <w:ind w:left="202" w:hanging="202"/>
      </w:pPr>
      <w:r>
        <w:t>1. 打开Slicer后，在DICOM模块导入病例所在目录，选中正确序列并载入；已有NRRD/NIfTI也可按Slicer常规方式载入。</w:t>
      </w:r>
    </w:p>
    <w:p>
      <w:pPr>
        <w:ind w:left="202" w:hanging="202"/>
      </w:pPr>
      <w:r>
        <w:t>2. 进入“CBCT Research → Dentra”。输入匿名病例ID，如E3D_CASE_001。</w:t>
      </w:r>
    </w:p>
    <w:p>
      <w:pPr>
        <w:ind w:left="202" w:hanging="202"/>
      </w:pPr>
      <w:r>
        <w:t>3. 在“已加载CBCT / Image”中选择目标体积，核对左右、上下颌、视野和空间位置。</w:t>
      </w:r>
    </w:p>
    <w:p>
      <w:pPr>
        <w:ind w:left="202" w:hanging="202"/>
      </w:pPr>
      <w:r>
        <w:t>4. 如果准备精修已有标注，选择原始.seg.nrrd并点“载入并创建副本”；如果准备生成初稿，使用下方“1b 预训练初稿”。</w:t>
      </w:r>
    </w:p>
    <w:p>
      <w:pPr>
        <w:widowControl/>
      </w:pPr>
      <w:r>
        <w:t>匿名ID仅允许字母、数字、下划线和短横线，不能填姓名、空格或路径。G04标记会被拒绝；来自DICOM的患者身份和队列归属不能仅靠文件名自动判定，仍需操作者核对。不要把G04或2.5D测试数据换名后放入本流程。</w:t>
      </w:r>
    </w:p>
    <w:p>
      <w:pPr>
        <w:pStyle w:val="Heading2"/>
      </w:pPr>
      <w:r>
        <w:t>检查本机模型与GPU</w:t>
      </w:r>
    </w:p>
    <w:p>
      <w:pPr>
        <w:ind w:left="202" w:hanging="202"/>
      </w:pPr>
      <w:r>
        <w:t>1. 点击“检查本机模型与GPU / Check deployment”。</w:t>
      </w:r>
    </w:p>
    <w:p>
      <w:pPr>
        <w:ind w:left="202" w:hanging="202"/>
      </w:pPr>
      <w:r>
        <w:t>2. 日志应出现READY，界面提示Deployment check passed。检查会核对模型文件指纹、nnU-Net版本、GPU可用性和空闲显存。</w:t>
      </w:r>
    </w:p>
    <w:p>
      <w:pPr>
        <w:ind w:left="202" w:hanging="202"/>
      </w:pPr>
      <w:r>
        <w:t>3. 失败时先看错误信息，按第10节处理；不启动其他模型、不降低输入分辨率或修改后处理参数。</w:t>
      </w:r>
    </w:p>
    <w:p>
      <w:pPr>
        <w:pStyle w:val="Heading2"/>
      </w:pPr>
      <w:r>
        <w:t>选择任务目录</w:t>
      </w:r>
    </w:p>
    <w:p>
      <w:pPr>
        <w:widowControl/>
      </w:pPr>
      <w:r>
        <w:t>“初稿任务目录”应使用本地Windows盘符路径，例如D:\CBCT_Draft_Jobs。不要使用网络盘或UNC共享路径。每次生成都会新建唯一任务子目录，不覆盖已有任务。目录内含完整CBCT和生成掩膜，应留在本地受控数据位置，不提交Git、不放进公开交付ZIP。</w:t>
      </w:r>
    </w:p>
    <w:p>
      <w:pPr>
        <w:widowControl/>
      </w:pPr>
      <w:r>
        <w:t>已有精修会话或生成任务打开时，先保存并关闭会话或等待任务结束，再开始另一个任务。一个模块实例只运行一个后端任务。</w:t>
      </w:r>
    </w:p>
    <w:p>
      <w:r>
        <w:br w:type="page"/>
      </w:r>
    </w:p>
    <w:p>
      <w:pPr>
        <w:pStyle w:val="Heading1"/>
      </w:pPr>
      <w:r>
        <w:t>5 生成半自动初稿</w:t>
      </w:r>
    </w:p>
    <w:p>
      <w:pPr>
        <w:pStyle w:val="Heading2"/>
      </w:pPr>
      <w:r>
        <w:t>启动和观察进度</w:t>
      </w:r>
    </w:p>
    <w:p>
      <w:pPr>
        <w:ind w:left="202" w:hanging="202"/>
      </w:pPr>
      <w:r>
        <w:t>1. 确认输入来自独立3D标注流程，勾选“不含G04或2.5D测试病例”的确认框。</w:t>
      </w:r>
    </w:p>
    <w:p>
      <w:pPr>
        <w:ind w:left="202" w:hanging="202"/>
      </w:pPr>
      <w:r>
        <w:t>2. 检查病例ID、选中影像和任务目录，点击“生成初稿并进入精修”。</w:t>
      </w:r>
    </w:p>
    <w:p>
      <w:pPr>
        <w:ind w:left="202" w:hanging="202"/>
      </w:pPr>
      <w:r>
        <w:t>3. 工具先在本地导出选中体积，不改变原始体积的保存目标，再通过WSL调用固定模型。</w:t>
      </w:r>
    </w:p>
    <w:p>
      <w:pPr>
        <w:ind w:left="202" w:hanging="202"/>
      </w:pPr>
      <w:r>
        <w:t>4. 日志显示预处理、网络前向调用数和完成状态。前向次数不是完成百分比，不应据此估计所有病例耗时。</w:t>
      </w:r>
    </w:p>
    <w:p>
      <w:pPr>
        <w:ind w:left="202" w:hanging="202"/>
      </w:pPr>
      <w:r>
        <w:t>5. 成功后自动导入Slicer并建立工作副本。患者—影像确认和所有解剖复核仍是待确认状态。</w:t>
      </w:r>
    </w:p>
    <w:p>
      <w:pPr>
        <w:widowControl/>
      </w:pPr>
      <w:r>
        <w:t>DentalSegmentator使用其公开fold 0；ToothSeg双分支使用其公开fold 5，两者均与2.5D项目固定五折无关。推理使用原plans中的归一化与重采样，并在原始CBCT网格输出结果。滑窗的Gaussian权重用于融合预测，不是对最终二值掩膜做形态学平滑。输出之后不平滑、不闭运算、不填洞、不删除小连通域。</w:t>
      </w:r>
    </w:p>
    <w:p>
      <w:pPr>
        <w:pStyle w:val="Heading2"/>
      </w:pPr>
      <w:r>
        <w:t>本机试跑的实际范围</w:t>
      </w:r>
    </w:p>
    <w:p>
      <w:pPr>
        <w:widowControl/>
      </w:pPr>
      <w:r>
        <w:t>DentalSegmentator在一个本地241×685×685体积上的历史试跑耗时约161秒，并通过Slicer导入、原网格检查与草稿版本保存。该时间仅描述这一次试跑，不是其他病例或其他机器的耗时承诺。没有计算Dice、D/F准确率或外部评价成绩。</w:t>
      </w:r>
    </w:p>
    <w:p>
      <w:pPr>
        <w:pStyle w:val="Heading2"/>
      </w:pPr>
      <w:r>
        <w:t>取消或中途关闭</w:t>
      </w:r>
    </w:p>
    <w:p>
      <w:pPr>
        <w:widowControl/>
      </w:pPr>
      <w:r>
        <w:t>点击“取消初稿任务”后，后端在阶段或网络前向边界检查取消标记并退出，界面可能需要等待。取消后不会自动导入结果。失败与部分目录保留供检查；重新尝试时建立新任务，不将.partial_result当成完成结果。</w:t>
      </w:r>
    </w:p>
    <w:p>
      <w:pPr>
        <w:widowControl/>
      </w:pPr>
      <w:r>
        <w:t>若推理已完成但Slicer关闭，可重新载入同一CBCT，点击“导入已完成初稿任务”，选择含job.json和result子目录的任务根目录。工具会核对影像像素与几何、输入/输出哈希及模型来源。</w:t>
      </w:r>
    </w:p>
    <w:p>
      <w:r>
        <w:br w:type="page"/>
      </w:r>
    </w:p>
    <w:p>
      <w:pPr>
        <w:pStyle w:val="Heading1"/>
      </w:pPr>
      <w:r>
        <w:t>6 确认类别并安全精修</w:t>
      </w:r>
    </w:p>
    <w:p>
      <w:pPr>
        <w:pStyle w:val="Heading2"/>
      </w:pPr>
      <w:r>
        <w:t>先确认来源与语义</w:t>
      </w:r>
    </w:p>
    <w:p>
      <w:pPr>
        <w:ind w:left="202" w:hanging="202"/>
      </w:pPr>
      <w:r>
        <w:t>1. 初稿导入后，先核对影像与掩膜物理位置，再勾选患者—影像绑定确认；未确认时编辑保持只读。</w:t>
      </w:r>
    </w:p>
    <w:p>
      <w:pPr>
        <w:ind w:left="202" w:hanging="202"/>
      </w:pPr>
      <w:r>
        <w:t>2. 在段选择框逐段查看类别、原始名称和像素值。五类结构初稿保留jaw_bone、teeth_group和nerve_canal语义；ToothSeg逐牙初稿选择tooth并核对FDI建议。</w:t>
      </w:r>
    </w:p>
    <w:p>
      <w:pPr>
        <w:ind w:left="202" w:hanging="202"/>
      </w:pPr>
      <w:r>
        <w:t>3. 牙群不要填写FDI；整颌骨不要直接改认成alveolar_bone。需要精细牙槽骨范围时，先另定标注协议；逐牙模型只能提供待精修的牙体建议。</w:t>
      </w:r>
    </w:p>
    <w:p>
      <w:pPr>
        <w:ind w:left="202" w:hanging="202"/>
      </w:pPr>
      <w:r>
        <w:t>4. 已有人工逐牙精标可选择tooth并明确填写FDI；名称和像素标签值不等价，禁止按像素值自动编号。</w:t>
      </w:r>
    </w:p>
    <w:p>
      <w:pPr>
        <w:pStyle w:val="Heading2"/>
      </w:pPr>
      <w:r>
        <w:t>精修工具</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808"/>
        <w:gridCol w:w="6120"/>
      </w:tblGrid>
      <w:tr>
        <w:trPr>
          <w:tblHeader/>
        </w:trPr>
        <w:tc>
          <w:tcPr>
            <w:tcW w:type="dxa" w:w="1152"/>
            <w:shd w:fill="E8EEF1"/>
            <w:vAlign w:val="center"/>
          </w:tcPr>
          <w:p>
            <w:pPr>
              <w:spacing w:after="80" w:before="60" w:line="264" w:lineRule="auto"/>
            </w:pPr>
            <w:r>
              <w:rPr>
                <w:b/>
                <w:sz w:val="21"/>
              </w:rPr>
              <w:t>工具</w:t>
            </w:r>
          </w:p>
        </w:tc>
        <w:tc>
          <w:tcPr>
            <w:tcW w:type="dxa" w:w="2808"/>
            <w:shd w:fill="E8EEF1"/>
            <w:vAlign w:val="center"/>
          </w:tcPr>
          <w:p>
            <w:pPr>
              <w:spacing w:after="80" w:before="60" w:line="264" w:lineRule="auto"/>
            </w:pPr>
            <w:r>
              <w:rPr>
                <w:b/>
                <w:sz w:val="21"/>
              </w:rPr>
              <w:t>用途</w:t>
            </w:r>
          </w:p>
        </w:tc>
        <w:tc>
          <w:tcPr>
            <w:tcW w:type="dxa" w:w="6120"/>
            <w:shd w:fill="E8EEF1"/>
            <w:vAlign w:val="center"/>
          </w:tcPr>
          <w:p>
            <w:pPr>
              <w:spacing w:after="80" w:before="60" w:line="264" w:lineRule="auto"/>
            </w:pPr>
            <w:r>
              <w:rPr>
                <w:b/>
                <w:sz w:val="21"/>
              </w:rPr>
              <w:t>操作后检查</w:t>
            </w:r>
          </w:p>
        </w:tc>
      </w:tr>
      <w:tr>
        <w:trPr>
          <w:cantSplit/>
        </w:trPr>
        <w:tc>
          <w:tcPr>
            <w:tcW w:type="dxa" w:w="1152"/>
            <w:vAlign w:val="center"/>
          </w:tcPr>
          <w:p>
            <w:pPr>
              <w:spacing w:after="80" w:before="60" w:line="264" w:lineRule="auto"/>
            </w:pPr>
            <w:r>
              <w:rPr>
                <w:sz w:val="21"/>
              </w:rPr>
              <w:t>Paint / Draw</w:t>
            </w:r>
          </w:p>
        </w:tc>
        <w:tc>
          <w:tcPr>
            <w:tcW w:type="dxa" w:w="2808"/>
            <w:vAlign w:val="center"/>
          </w:tcPr>
          <w:p>
            <w:pPr>
              <w:spacing w:after="80" w:before="60" w:line="264" w:lineRule="auto"/>
            </w:pPr>
            <w:r>
              <w:rPr>
                <w:sz w:val="21"/>
              </w:rPr>
              <w:t>局部补画、沿原图勾边</w:t>
            </w:r>
          </w:p>
        </w:tc>
        <w:tc>
          <w:tcPr>
            <w:tcW w:type="dxa" w:w="6120"/>
            <w:vAlign w:val="center"/>
          </w:tcPr>
          <w:p>
            <w:pPr>
              <w:spacing w:after="80" w:before="60" w:line="264" w:lineRule="auto"/>
            </w:pPr>
            <w:r>
              <w:rPr>
                <w:sz w:val="21"/>
              </w:rPr>
              <w:t>新增骨体素是否误补真实缺损</w:t>
            </w:r>
          </w:p>
        </w:tc>
      </w:tr>
      <w:tr>
        <w:trPr>
          <w:cantSplit/>
        </w:trPr>
        <w:tc>
          <w:tcPr>
            <w:tcW w:type="dxa" w:w="1152"/>
            <w:vAlign w:val="center"/>
          </w:tcPr>
          <w:p>
            <w:pPr>
              <w:spacing w:after="80" w:before="60" w:line="264" w:lineRule="auto"/>
            </w:pPr>
            <w:r>
              <w:rPr>
                <w:sz w:val="21"/>
              </w:rPr>
              <w:t>Erase</w:t>
            </w:r>
          </w:p>
        </w:tc>
        <w:tc>
          <w:tcPr>
            <w:tcW w:type="dxa" w:w="2808"/>
            <w:vAlign w:val="center"/>
          </w:tcPr>
          <w:p>
            <w:pPr>
              <w:spacing w:after="80" w:before="60" w:line="264" w:lineRule="auto"/>
            </w:pPr>
            <w:r>
              <w:rPr>
                <w:sz w:val="21"/>
              </w:rPr>
              <w:t>移除多余体素</w:t>
            </w:r>
          </w:p>
        </w:tc>
        <w:tc>
          <w:tcPr>
            <w:tcW w:type="dxa" w:w="6120"/>
            <w:vAlign w:val="center"/>
          </w:tcPr>
          <w:p>
            <w:pPr>
              <w:spacing w:after="80" w:before="60" w:line="264" w:lineRule="auto"/>
            </w:pPr>
            <w:r>
              <w:rPr>
                <w:sz w:val="21"/>
              </w:rPr>
              <w:t>是否误删薄骨板或窄连接</w:t>
            </w:r>
          </w:p>
        </w:tc>
      </w:tr>
      <w:tr>
        <w:trPr>
          <w:cantSplit/>
        </w:trPr>
        <w:tc>
          <w:tcPr>
            <w:tcW w:type="dxa" w:w="1152"/>
            <w:vAlign w:val="center"/>
          </w:tcPr>
          <w:p>
            <w:pPr>
              <w:spacing w:after="80" w:before="60" w:line="264" w:lineRule="auto"/>
            </w:pPr>
            <w:r>
              <w:rPr>
                <w:sz w:val="21"/>
              </w:rPr>
              <w:t>Scissors</w:t>
            </w:r>
          </w:p>
        </w:tc>
        <w:tc>
          <w:tcPr>
            <w:tcW w:type="dxa" w:w="2808"/>
            <w:vAlign w:val="center"/>
          </w:tcPr>
          <w:p>
            <w:pPr>
              <w:spacing w:after="80" w:before="60" w:line="264" w:lineRule="auto"/>
            </w:pPr>
            <w:r>
              <w:rPr>
                <w:sz w:val="21"/>
              </w:rPr>
              <w:t>手工裁去明确多余区域</w:t>
            </w:r>
          </w:p>
        </w:tc>
        <w:tc>
          <w:tcPr>
            <w:tcW w:type="dxa" w:w="6120"/>
            <w:vAlign w:val="center"/>
          </w:tcPr>
          <w:p>
            <w:pPr>
              <w:spacing w:after="80" w:before="60" w:line="264" w:lineRule="auto"/>
            </w:pPr>
            <w:r>
              <w:rPr>
                <w:sz w:val="21"/>
              </w:rPr>
              <w:t>范围是否波及目标牙或缺损边缘</w:t>
            </w:r>
          </w:p>
        </w:tc>
      </w:tr>
      <w:tr>
        <w:trPr>
          <w:cantSplit/>
        </w:trPr>
        <w:tc>
          <w:tcPr>
            <w:tcW w:type="dxa" w:w="1152"/>
            <w:vAlign w:val="center"/>
          </w:tcPr>
          <w:p>
            <w:pPr>
              <w:spacing w:after="80" w:before="60" w:line="264" w:lineRule="auto"/>
            </w:pPr>
            <w:r>
              <w:rPr>
                <w:sz w:val="21"/>
              </w:rPr>
              <w:t>Undo</w:t>
            </w:r>
          </w:p>
        </w:tc>
        <w:tc>
          <w:tcPr>
            <w:tcW w:type="dxa" w:w="2808"/>
            <w:vAlign w:val="center"/>
          </w:tcPr>
          <w:p>
            <w:pPr>
              <w:spacing w:after="80" w:before="60" w:line="264" w:lineRule="auto"/>
            </w:pPr>
            <w:r>
              <w:rPr>
                <w:sz w:val="21"/>
              </w:rPr>
              <w:t>撤销最近操作</w:t>
            </w:r>
          </w:p>
        </w:tc>
        <w:tc>
          <w:tcPr>
            <w:tcW w:type="dxa" w:w="6120"/>
            <w:vAlign w:val="center"/>
          </w:tcPr>
          <w:p>
            <w:pPr>
              <w:spacing w:after="80" w:before="60" w:line="264" w:lineRule="auto"/>
            </w:pPr>
            <w:r>
              <w:rPr>
                <w:sz w:val="21"/>
              </w:rPr>
              <w:t>返回原图再次确认修改依据</w:t>
            </w:r>
          </w:p>
        </w:tc>
      </w:tr>
    </w:tbl>
    <w:p>
      <w:pPr>
        <w:spacing w:after="0"/>
      </w:pPr>
    </w:p>
    <w:p>
      <w:pPr>
        <w:widowControl/>
      </w:pPr>
      <w:r>
        <w:t>默认不覆盖其他segment。勾选“对照原始轮廓”会隐藏工作副本并暂停编辑，取消勾选后回到副本。模型初稿本身是对照基线，不是人工真值。</w:t>
      </w:r>
    </w:p>
    <w:p>
      <w:pPr>
        <w:widowControl/>
      </w:pPr>
      <w:r>
        <w:t>可选3D表面显示使用平滑系数0且不改变二值掩膜；判断薄骨板或缺损仍以原始切片及相邻切片为依据。不要切换到其他通用工具批量平滑或填洞，再把结果当成本模块未后处理的输出。外部改动可能被质控拦截，但本工具不对Slicer所有入口施加系统级只读锁。</w:t>
      </w:r>
    </w:p>
    <w:p>
      <w:r>
        <w:br w:type="page"/>
      </w:r>
    </w:p>
    <w:p>
      <w:pPr>
        <w:pStyle w:val="Heading1"/>
      </w:pPr>
      <w:r>
        <w:t>7 薄骨板 开窗和开裂的独立复核</w:t>
      </w:r>
    </w:p>
    <w:p>
      <w:pPr>
        <w:widowControl/>
      </w:pPr>
      <w:r>
        <w:t>先完成掩膜、映射和疑点位置调整，再记录最终复核。任何相关内容变化都会使旧复核签名过期。没有后处理不等于预测不会漏骨或误补缺损；这些区域必须由医生从原图独立判断。</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312"/>
        <w:gridCol w:w="4752"/>
      </w:tblGrid>
      <w:tr>
        <w:trPr>
          <w:tblHeader/>
        </w:trPr>
        <w:tc>
          <w:tcPr>
            <w:tcW w:type="dxa" w:w="2016"/>
            <w:shd w:fill="E8EEF1"/>
            <w:vAlign w:val="center"/>
          </w:tcPr>
          <w:p>
            <w:pPr>
              <w:spacing w:after="80" w:before="60" w:line="264" w:lineRule="auto"/>
            </w:pPr>
            <w:r>
              <w:rPr>
                <w:b/>
                <w:sz w:val="21"/>
              </w:rPr>
              <w:t>复核项</w:t>
            </w:r>
          </w:p>
        </w:tc>
        <w:tc>
          <w:tcPr>
            <w:tcW w:type="dxa" w:w="3312"/>
            <w:shd w:fill="E8EEF1"/>
            <w:vAlign w:val="center"/>
          </w:tcPr>
          <w:p>
            <w:pPr>
              <w:spacing w:after="80" w:before="60" w:line="264" w:lineRule="auto"/>
            </w:pPr>
            <w:r>
              <w:rPr>
                <w:b/>
                <w:sz w:val="21"/>
              </w:rPr>
              <w:t>重点查看</w:t>
            </w:r>
          </w:p>
        </w:tc>
        <w:tc>
          <w:tcPr>
            <w:tcW w:type="dxa" w:w="4752"/>
            <w:shd w:fill="E8EEF1"/>
            <w:vAlign w:val="center"/>
          </w:tcPr>
          <w:p>
            <w:pPr>
              <w:spacing w:after="80" w:before="60" w:line="264" w:lineRule="auto"/>
            </w:pPr>
            <w:r>
              <w:rPr>
                <w:b/>
                <w:sz w:val="21"/>
              </w:rPr>
              <w:t>记录内容</w:t>
            </w:r>
          </w:p>
        </w:tc>
      </w:tr>
      <w:tr>
        <w:trPr>
          <w:cantSplit/>
        </w:trPr>
        <w:tc>
          <w:tcPr>
            <w:tcW w:type="dxa" w:w="2016"/>
            <w:vAlign w:val="center"/>
          </w:tcPr>
          <w:p>
            <w:pPr>
              <w:spacing w:after="80" w:before="60" w:line="264" w:lineRule="auto"/>
            </w:pPr>
            <w:r>
              <w:rPr>
                <w:sz w:val="21"/>
              </w:rPr>
              <w:t>薄骨板 thin_plate</w:t>
            </w:r>
          </w:p>
        </w:tc>
        <w:tc>
          <w:tcPr>
            <w:tcW w:type="dxa" w:w="3312"/>
            <w:vAlign w:val="center"/>
          </w:tcPr>
          <w:p>
            <w:pPr>
              <w:spacing w:after="80" w:before="60" w:line="264" w:lineRule="auto"/>
            </w:pPr>
            <w:r>
              <w:rPr>
                <w:sz w:val="21"/>
              </w:rPr>
              <w:t>原始及相邻切片的局部骨边界；必要时从另一方向复查</w:t>
            </w:r>
          </w:p>
        </w:tc>
        <w:tc>
          <w:tcPr>
            <w:tcW w:type="dxa" w:w="4752"/>
            <w:vAlign w:val="center"/>
          </w:tcPr>
          <w:p>
            <w:pPr>
              <w:spacing w:after="80" w:before="60" w:line="264" w:lineRule="auto"/>
            </w:pPr>
            <w:r>
              <w:rPr>
                <w:sz w:val="21"/>
              </w:rPr>
              <w:t>部位、可判定性、增删依据；模糊处保留不确定</w:t>
            </w:r>
          </w:p>
        </w:tc>
      </w:tr>
      <w:tr>
        <w:trPr>
          <w:cantSplit/>
        </w:trPr>
        <w:tc>
          <w:tcPr>
            <w:tcW w:type="dxa" w:w="2016"/>
            <w:vAlign w:val="center"/>
          </w:tcPr>
          <w:p>
            <w:pPr>
              <w:spacing w:after="80" w:before="60" w:line="264" w:lineRule="auto"/>
            </w:pPr>
            <w:r>
              <w:rPr>
                <w:sz w:val="21"/>
              </w:rPr>
              <w:t>骨开窗 fenestration</w:t>
            </w:r>
          </w:p>
        </w:tc>
        <w:tc>
          <w:tcPr>
            <w:tcW w:type="dxa" w:w="3312"/>
            <w:vAlign w:val="center"/>
          </w:tcPr>
          <w:p>
            <w:pPr>
              <w:spacing w:after="80" w:before="60" w:line="264" w:lineRule="auto"/>
            </w:pPr>
            <w:r>
              <w:rPr>
                <w:sz w:val="21"/>
              </w:rPr>
              <w:t>疑似窗孔周围连续边界；新增体素是否填窗</w:t>
            </w:r>
          </w:p>
        </w:tc>
        <w:tc>
          <w:tcPr>
            <w:tcW w:type="dxa" w:w="4752"/>
            <w:vAlign w:val="center"/>
          </w:tcPr>
          <w:p>
            <w:pPr>
              <w:spacing w:after="80" w:before="60" w:line="264" w:lineRule="auto"/>
            </w:pPr>
            <w:r>
              <w:rPr>
                <w:sz w:val="21"/>
              </w:rPr>
              <w:t>牙位或区域、边界、原图证据和保留情况</w:t>
            </w:r>
          </w:p>
        </w:tc>
      </w:tr>
      <w:tr>
        <w:trPr>
          <w:cantSplit/>
        </w:trPr>
        <w:tc>
          <w:tcPr>
            <w:tcW w:type="dxa" w:w="2016"/>
            <w:vAlign w:val="center"/>
          </w:tcPr>
          <w:p>
            <w:pPr>
              <w:spacing w:after="80" w:before="60" w:line="264" w:lineRule="auto"/>
            </w:pPr>
            <w:r>
              <w:rPr>
                <w:sz w:val="21"/>
              </w:rPr>
              <w:t>骨开裂 dehiscence</w:t>
            </w:r>
          </w:p>
        </w:tc>
        <w:tc>
          <w:tcPr>
            <w:tcW w:type="dxa" w:w="3312"/>
            <w:vAlign w:val="center"/>
          </w:tcPr>
          <w:p>
            <w:pPr>
              <w:spacing w:after="80" w:before="60" w:line="264" w:lineRule="auto"/>
            </w:pPr>
            <w:r>
              <w:rPr>
                <w:sz w:val="21"/>
              </w:rPr>
              <w:t>缺损与牙槽嵴边缘的连续关系及相邻切片</w:t>
            </w:r>
          </w:p>
        </w:tc>
        <w:tc>
          <w:tcPr>
            <w:tcW w:type="dxa" w:w="4752"/>
            <w:vAlign w:val="center"/>
          </w:tcPr>
          <w:p>
            <w:pPr>
              <w:spacing w:after="80" w:before="60" w:line="264" w:lineRule="auto"/>
            </w:pPr>
            <w:r>
              <w:rPr>
                <w:sz w:val="21"/>
              </w:rPr>
              <w:t>范围、边缘与修改依据；不要由线段名称自动定类</w:t>
            </w:r>
          </w:p>
        </w:tc>
      </w:tr>
    </w:tbl>
    <w:p>
      <w:pPr>
        <w:spacing w:after="0"/>
      </w:pPr>
    </w:p>
    <w:p>
      <w:pPr>
        <w:pStyle w:val="Heading2"/>
      </w:pPr>
      <w:r>
        <w:t>复核结论</w:t>
      </w:r>
    </w:p>
    <w:p>
      <w:pPr>
        <w:widowControl/>
      </w:pPr>
      <w:r>
        <w:t>“已复核”表示医生完成当前内容的检查；“不适用”必须说明原因；“仍不确定”保留待处理状态。每类整体项目都要有记录，每个已标记疑点也要单独复核，不能用整体通过代替疑点检查。</w:t>
      </w:r>
    </w:p>
    <w:p>
      <w:pPr>
        <w:widowControl/>
      </w:pPr>
      <w:r>
        <w:t>复核时填写医生匿名ID、结论及依据，包括查看部位、切片或坐标和修改理由。记录自动附时间与版本签名。解剖定义、可判定规则和正式双医生真值流程仍由项目医生确认，本模块没有引入新的D/F诊断阈值。</w:t>
      </w:r>
    </w:p>
    <w:p>
      <w:pPr>
        <w:pStyle w:val="Heading2"/>
      </w:pPr>
      <w:r>
        <w:t>不可判定时的处理</w:t>
      </w:r>
    </w:p>
    <w:p>
      <w:pPr>
        <w:widowControl/>
      </w:pPr>
      <w:r>
        <w:t>若影像不足以区分薄骨、缺损或伪影，保留“仍不确定”，提交另一位专家复查。不要为获得完成状态而把不确定改成阴性或填平孔洞。缺损复核不依赖历史D线中点、L轴或P平面自动生成真值。</w:t>
      </w:r>
    </w:p>
    <w:p>
      <w:pPr>
        <w:widowControl/>
      </w:pPr>
      <w:r>
        <w:t>三维点位只帮助导航，不覆盖整个病变体积，也不自动发现所有风险区域；医生仍需检查相关完整区域。</w:t>
      </w:r>
    </w:p>
    <w:p>
      <w:r>
        <w:br w:type="page"/>
      </w:r>
    </w:p>
    <w:p>
      <w:pPr>
        <w:pStyle w:val="Heading1"/>
      </w:pPr>
      <w:r>
        <w:t>8 疑点定位与质控结果</w:t>
      </w:r>
    </w:p>
    <w:p>
      <w:pPr>
        <w:pStyle w:val="Heading2"/>
      </w:pPr>
      <w:r>
        <w:t>放置与细调疑点</w:t>
      </w:r>
    </w:p>
    <w:p>
      <w:pPr>
        <w:ind w:left="202" w:hanging="202"/>
      </w:pPr>
      <w:r>
        <w:t>1. 选择对应segment与疑点类型，填写“位置/原因”，例如“11唇侧根中部，窗孔边缘待核对”。</w:t>
      </w:r>
    </w:p>
    <w:p>
      <w:pPr>
        <w:ind w:left="202" w:hanging="202"/>
      </w:pPr>
      <w:r>
        <w:t>2. 点击图钉，在切片放一个点，再点“将放置点加入复核清单”。多放了点时先清除临时放置点。</w:t>
      </w:r>
    </w:p>
    <w:p>
      <w:pPr>
        <w:ind w:left="202" w:hanging="202"/>
      </w:pPr>
      <w:r>
        <w:t>3. 双击清单项回到该位置。需要移动时，选中疑点、在新位置放一个临时点、更新说明，再点“移动选中疑点”。</w:t>
      </w:r>
    </w:p>
    <w:p>
      <w:pPr>
        <w:ind w:left="202" w:hanging="202"/>
      </w:pPr>
      <w:r>
        <w:t>4. 明确误标可选中删除。新增、移动或删除点后，重做相关最终复核；点位变化会更新签名。</w:t>
      </w:r>
    </w:p>
    <w:p>
      <w:pPr>
        <w:ind w:left="202" w:hanging="202"/>
      </w:pPr>
      <w:r>
        <w:t>5. 在复核项下拉框中逐项记录三个整体类别及各疑点的结论。</w:t>
      </w:r>
    </w:p>
    <w:p>
      <w:pPr>
        <w:pStyle w:val="Heading2"/>
      </w:pPr>
      <w:r>
        <w:t>运行质控后怎样处理</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tblHeader/>
        </w:trPr>
        <w:tc>
          <w:tcPr>
            <w:tcW w:type="dxa" w:w="3312"/>
            <w:shd w:fill="E8EEF1"/>
            <w:vAlign w:val="center"/>
          </w:tcPr>
          <w:p>
            <w:pPr>
              <w:spacing w:after="80" w:before="60" w:line="264" w:lineRule="auto"/>
            </w:pPr>
            <w:r>
              <w:rPr>
                <w:b/>
                <w:sz w:val="21"/>
              </w:rPr>
              <w:t>提示</w:t>
            </w:r>
          </w:p>
        </w:tc>
        <w:tc>
          <w:tcPr>
            <w:tcW w:type="dxa" w:w="6768"/>
            <w:shd w:fill="E8EEF1"/>
            <w:vAlign w:val="center"/>
          </w:tcPr>
          <w:p>
            <w:pPr>
              <w:spacing w:after="80" w:before="60" w:line="264" w:lineRule="auto"/>
            </w:pPr>
            <w:r>
              <w:rPr>
                <w:b/>
                <w:sz w:val="21"/>
              </w:rPr>
              <w:t>含义与处理</w:t>
            </w:r>
          </w:p>
        </w:tc>
      </w:tr>
      <w:tr>
        <w:trPr>
          <w:cantSplit/>
        </w:trPr>
        <w:tc>
          <w:tcPr>
            <w:tcW w:type="dxa" w:w="3312"/>
            <w:vAlign w:val="center"/>
          </w:tcPr>
          <w:p>
            <w:pPr>
              <w:spacing w:after="80" w:before="60" w:line="264" w:lineRule="auto"/>
            </w:pPr>
            <w:r>
              <w:rPr>
                <w:sz w:val="21"/>
              </w:rPr>
              <w:t>added_voxels / removed_voxels</w:t>
            </w:r>
          </w:p>
        </w:tc>
        <w:tc>
          <w:tcPr>
            <w:tcW w:type="dxa" w:w="6768"/>
            <w:vAlign w:val="center"/>
          </w:tcPr>
          <w:p>
            <w:pPr>
              <w:spacing w:after="80" w:before="60" w:line="264" w:lineRule="auto"/>
            </w:pPr>
            <w:r>
              <w:rPr>
                <w:sz w:val="21"/>
              </w:rPr>
              <w:t>相对基线的增删量；骨新增时重点检查真实缺损是否被补上</w:t>
            </w:r>
          </w:p>
        </w:tc>
      </w:tr>
      <w:tr>
        <w:trPr>
          <w:cantSplit/>
        </w:trPr>
        <w:tc>
          <w:tcPr>
            <w:tcW w:type="dxa" w:w="3312"/>
            <w:vAlign w:val="center"/>
          </w:tcPr>
          <w:p>
            <w:pPr>
              <w:spacing w:after="80" w:before="60" w:line="264" w:lineRule="auto"/>
            </w:pPr>
            <w:r>
              <w:rPr>
                <w:sz w:val="21"/>
              </w:rPr>
              <w:t>outside_reference_volume</w:t>
            </w:r>
          </w:p>
        </w:tc>
        <w:tc>
          <w:tcPr>
            <w:tcW w:type="dxa" w:w="6768"/>
            <w:vAlign w:val="center"/>
          </w:tcPr>
          <w:p>
            <w:pPr>
              <w:spacing w:after="80" w:before="60" w:line="264" w:lineRule="auto"/>
            </w:pPr>
            <w:r>
              <w:rPr>
                <w:sz w:val="21"/>
              </w:rPr>
              <w:t>掩膜超出参考影像；先核对数据与几何，不直接确认完成</w:t>
            </w:r>
          </w:p>
        </w:tc>
      </w:tr>
      <w:tr>
        <w:trPr>
          <w:cantSplit/>
        </w:trPr>
        <w:tc>
          <w:tcPr>
            <w:tcW w:type="dxa" w:w="3312"/>
            <w:vAlign w:val="center"/>
          </w:tcPr>
          <w:p>
            <w:pPr>
              <w:spacing w:after="80" w:before="60" w:line="264" w:lineRule="auto"/>
            </w:pPr>
            <w:r>
              <w:rPr>
                <w:sz w:val="21"/>
              </w:rPr>
              <w:t>different_sampling</w:t>
            </w:r>
          </w:p>
        </w:tc>
        <w:tc>
          <w:tcPr>
            <w:tcW w:type="dxa" w:w="6768"/>
            <w:vAlign w:val="center"/>
          </w:tcPr>
          <w:p>
            <w:pPr>
              <w:spacing w:after="80" w:before="60" w:line="264" w:lineRule="auto"/>
            </w:pPr>
            <w:r>
              <w:rPr>
                <w:sz w:val="21"/>
              </w:rPr>
              <w:t>采样与CT不同；保持原网格，先检查物理位置与细节</w:t>
            </w:r>
          </w:p>
        </w:tc>
      </w:tr>
      <w:tr>
        <w:trPr>
          <w:cantSplit/>
        </w:trPr>
        <w:tc>
          <w:tcPr>
            <w:tcW w:type="dxa" w:w="3312"/>
            <w:vAlign w:val="center"/>
          </w:tcPr>
          <w:p>
            <w:pPr>
              <w:spacing w:after="80" w:before="60" w:line="264" w:lineRule="auto"/>
            </w:pPr>
            <w:r>
              <w:rPr>
                <w:sz w:val="21"/>
              </w:rPr>
              <w:t>mask_grid_changed</w:t>
            </w:r>
          </w:p>
        </w:tc>
        <w:tc>
          <w:tcPr>
            <w:tcW w:type="dxa" w:w="6768"/>
            <w:vAlign w:val="center"/>
          </w:tcPr>
          <w:p>
            <w:pPr>
              <w:spacing w:after="80" w:before="60" w:line="264" w:lineRule="auto"/>
            </w:pPr>
            <w:r>
              <w:rPr>
                <w:sz w:val="21"/>
              </w:rPr>
              <w:t>精修中标签格点改变；本版不通过插值强行比较</w:t>
            </w:r>
          </w:p>
        </w:tc>
      </w:tr>
      <w:tr>
        <w:trPr>
          <w:cantSplit/>
        </w:trPr>
        <w:tc>
          <w:tcPr>
            <w:tcW w:type="dxa" w:w="3312"/>
            <w:vAlign w:val="center"/>
          </w:tcPr>
          <w:p>
            <w:pPr>
              <w:spacing w:after="80" w:before="60" w:line="264" w:lineRule="auto"/>
            </w:pPr>
            <w:r>
              <w:rPr>
                <w:sz w:val="21"/>
              </w:rPr>
              <w:t>review_pending_or_stale</w:t>
            </w:r>
          </w:p>
        </w:tc>
        <w:tc>
          <w:tcPr>
            <w:tcW w:type="dxa" w:w="6768"/>
            <w:vAlign w:val="center"/>
          </w:tcPr>
          <w:p>
            <w:pPr>
              <w:spacing w:after="80" w:before="60" w:line="264" w:lineRule="auto"/>
            </w:pPr>
            <w:r>
              <w:rPr>
                <w:sz w:val="21"/>
              </w:rPr>
              <w:t>未复核、仍不确定或内容修改后旧记录已过期</w:t>
            </w:r>
          </w:p>
        </w:tc>
      </w:tr>
      <w:tr>
        <w:trPr>
          <w:cantSplit/>
        </w:trPr>
        <w:tc>
          <w:tcPr>
            <w:tcW w:type="dxa" w:w="3312"/>
            <w:vAlign w:val="center"/>
          </w:tcPr>
          <w:p>
            <w:pPr>
              <w:spacing w:after="80" w:before="60" w:line="264" w:lineRule="auto"/>
            </w:pPr>
            <w:r>
              <w:rPr>
                <w:sz w:val="21"/>
              </w:rPr>
              <w:t>check_volume_boundary</w:t>
            </w:r>
          </w:p>
        </w:tc>
        <w:tc>
          <w:tcPr>
            <w:tcW w:type="dxa" w:w="6768"/>
            <w:vAlign w:val="center"/>
          </w:tcPr>
          <w:p>
            <w:pPr>
              <w:spacing w:after="80" w:before="60" w:line="264" w:lineRule="auto"/>
            </w:pPr>
            <w:r>
              <w:rPr>
                <w:sz w:val="21"/>
              </w:rPr>
              <w:t>结构接触视野边缘；结合FOV检查，不能据此自动判缺损</w:t>
            </w:r>
          </w:p>
        </w:tc>
      </w:tr>
    </w:tbl>
    <w:p>
      <w:pPr>
        <w:spacing w:after="0"/>
      </w:pPr>
    </w:p>
    <w:p>
      <w:pPr>
        <w:widowControl/>
      </w:pPr>
      <w:r>
        <w:t>IN_PROGRESS表示仍有待处理项目，可保存草稿。REVIEW_COMPLETE只表示本工具所需工程检查与复核记录齐备；training_admission和clinical_validation仍为false。模型来源不会因为精修完成就自动变成人工真值。</w:t>
      </w:r>
    </w:p>
    <w:p>
      <w:r>
        <w:br w:type="page"/>
      </w:r>
    </w:p>
    <w:p>
      <w:pPr>
        <w:pStyle w:val="Heading1"/>
      </w:pPr>
      <w:r>
        <w:t>9 保存版本与下次恢复</w:t>
      </w:r>
    </w:p>
    <w:p>
      <w:pPr>
        <w:pStyle w:val="Heading2"/>
      </w:pPr>
      <w:r>
        <w:t>保存一次完整版本</w:t>
      </w:r>
    </w:p>
    <w:p>
      <w:pPr>
        <w:ind w:left="202" w:hanging="202"/>
      </w:pPr>
      <w:r>
        <w:t>1. 运行质控，阅读仍未解决的项目。可以先保存IN_PROGRESS草稿。</w:t>
      </w:r>
    </w:p>
    <w:p>
      <w:pPr>
        <w:ind w:left="202" w:hanging="202"/>
      </w:pPr>
      <w:r>
        <w:t>2. 在“导出根目录”选择本地受控位置，点击“另存新版本”。</w:t>
      </w:r>
    </w:p>
    <w:p>
      <w:pPr>
        <w:ind w:left="202" w:hanging="202"/>
      </w:pPr>
      <w:r>
        <w:t>3. 每次生成新的匿名ID、UTC时间和随机版本号目录。保存后会重新读取分割，核对原生二值掩膜指纹。</w:t>
      </w:r>
    </w:p>
    <w:p>
      <w:pPr>
        <w:ind w:left="202" w:hanging="202"/>
      </w:pPr>
      <w:r>
        <w:t>4. 关闭会话前必须先导出尚未保存的掩膜、映射与复核更改。恢复其他版本前也应先保存当前改动。</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5256"/>
      </w:tblGrid>
      <w:tr>
        <w:trPr>
          <w:tblHeader/>
        </w:trPr>
        <w:tc>
          <w:tcPr>
            <w:tcW w:type="dxa" w:w="4824"/>
            <w:shd w:fill="E8EEF1"/>
            <w:vAlign w:val="center"/>
          </w:tcPr>
          <w:p>
            <w:pPr>
              <w:spacing w:after="80" w:before="60" w:line="264" w:lineRule="auto"/>
            </w:pPr>
            <w:r>
              <w:rPr>
                <w:b/>
                <w:sz w:val="21"/>
              </w:rPr>
              <w:t>版本内文件</w:t>
            </w:r>
          </w:p>
        </w:tc>
        <w:tc>
          <w:tcPr>
            <w:tcW w:type="dxa" w:w="5256"/>
            <w:shd w:fill="E8EEF1"/>
            <w:vAlign w:val="center"/>
          </w:tcPr>
          <w:p>
            <w:pPr>
              <w:spacing w:after="80" w:before="60" w:line="264" w:lineRule="auto"/>
            </w:pPr>
            <w:r>
              <w:rPr>
                <w:b/>
                <w:sz w:val="21"/>
              </w:rPr>
              <w:t>用途</w:t>
            </w:r>
          </w:p>
        </w:tc>
      </w:tr>
      <w:tr>
        <w:trPr>
          <w:cantSplit/>
        </w:trPr>
        <w:tc>
          <w:tcPr>
            <w:tcW w:type="dxa" w:w="4824"/>
            <w:vAlign w:val="center"/>
          </w:tcPr>
          <w:p>
            <w:pPr>
              <w:spacing w:after="80" w:before="60" w:line="264" w:lineRule="auto"/>
            </w:pPr>
            <w:r>
              <w:rPr>
                <w:sz w:val="21"/>
              </w:rPr>
              <w:t>refined.seg.nrrd</w:t>
            </w:r>
          </w:p>
        </w:tc>
        <w:tc>
          <w:tcPr>
            <w:tcW w:type="dxa" w:w="5256"/>
            <w:vAlign w:val="center"/>
          </w:tcPr>
          <w:p>
            <w:pPr>
              <w:spacing w:after="80" w:before="60" w:line="264" w:lineRule="auto"/>
            </w:pPr>
            <w:r>
              <w:rPr>
                <w:sz w:val="21"/>
              </w:rPr>
              <w:t>精修掩膜；模型来源标签随segment保留</w:t>
            </w:r>
          </w:p>
        </w:tc>
      </w:tr>
      <w:tr>
        <w:trPr>
          <w:cantSplit/>
        </w:trPr>
        <w:tc>
          <w:tcPr>
            <w:tcW w:type="dxa" w:w="4824"/>
            <w:vAlign w:val="center"/>
          </w:tcPr>
          <w:p>
            <w:pPr>
              <w:spacing w:after="80" w:before="60" w:line="264" w:lineRule="auto"/>
            </w:pPr>
            <w:r>
              <w:rPr>
                <w:sz w:val="21"/>
              </w:rPr>
              <w:t>critical_regions.mrk.json</w:t>
            </w:r>
          </w:p>
        </w:tc>
        <w:tc>
          <w:tcPr>
            <w:tcW w:type="dxa" w:w="5256"/>
            <w:vAlign w:val="center"/>
          </w:tcPr>
          <w:p>
            <w:pPr>
              <w:spacing w:after="80" w:before="60" w:line="264" w:lineRule="auto"/>
            </w:pPr>
            <w:r>
              <w:rPr>
                <w:sz w:val="21"/>
              </w:rPr>
              <w:t>疑点类别、点位及说明</w:t>
            </w:r>
          </w:p>
        </w:tc>
      </w:tr>
      <w:tr>
        <w:trPr>
          <w:cantSplit/>
        </w:trPr>
        <w:tc>
          <w:tcPr>
            <w:tcW w:type="dxa" w:w="4824"/>
            <w:vAlign w:val="center"/>
          </w:tcPr>
          <w:p>
            <w:pPr>
              <w:spacing w:after="80" w:before="60" w:line="264" w:lineRule="auto"/>
            </w:pPr>
            <w:r>
              <w:rPr>
                <w:sz w:val="21"/>
              </w:rPr>
              <w:t>review.json</w:t>
            </w:r>
          </w:p>
        </w:tc>
        <w:tc>
          <w:tcPr>
            <w:tcW w:type="dxa" w:w="5256"/>
            <w:vAlign w:val="center"/>
          </w:tcPr>
          <w:p>
            <w:pPr>
              <w:spacing w:after="80" w:before="60" w:line="264" w:lineRule="auto"/>
            </w:pPr>
            <w:r>
              <w:rPr>
                <w:sz w:val="21"/>
              </w:rPr>
              <w:t>源文件指纹、影像签名、映射、体素差分、复核人与时间、模型来源</w:t>
            </w:r>
          </w:p>
        </w:tc>
      </w:tr>
      <w:tr>
        <w:trPr>
          <w:cantSplit/>
        </w:trPr>
        <w:tc>
          <w:tcPr>
            <w:tcW w:type="dxa" w:w="4824"/>
            <w:vAlign w:val="center"/>
          </w:tcPr>
          <w:p>
            <w:pPr>
              <w:spacing w:after="80" w:before="60" w:line="264" w:lineRule="auto"/>
            </w:pPr>
            <w:r>
              <w:rPr>
                <w:sz w:val="21"/>
              </w:rPr>
              <w:t>SHA256SUMS.txt</w:t>
            </w:r>
          </w:p>
        </w:tc>
        <w:tc>
          <w:tcPr>
            <w:tcW w:type="dxa" w:w="5256"/>
            <w:vAlign w:val="center"/>
          </w:tcPr>
          <w:p>
            <w:pPr>
              <w:spacing w:after="80" w:before="60" w:line="264" w:lineRule="auto"/>
            </w:pPr>
            <w:r>
              <w:rPr>
                <w:sz w:val="21"/>
              </w:rPr>
              <w:t>上述文件的SHA-256校验</w:t>
            </w:r>
          </w:p>
        </w:tc>
      </w:tr>
    </w:tbl>
    <w:p>
      <w:pPr>
        <w:spacing w:after="0"/>
      </w:pPr>
    </w:p>
    <w:p>
      <w:pPr>
        <w:pStyle w:val="Heading2"/>
      </w:pPr>
      <w:r>
        <w:t>恢复已有精标的精修版本</w:t>
      </w:r>
    </w:p>
    <w:p>
      <w:pPr>
        <w:widowControl/>
      </w:pPr>
      <w:r>
        <w:t>先载入同一CBCT，用原始.seg.nrrd建立会话，再点“恢复已导出版本”，选择版本目录；重新确认患者—影像绑定。不要用精修后的文件替代原始基线，否则差分含义会改变。</w:t>
      </w:r>
    </w:p>
    <w:p>
      <w:pPr>
        <w:pStyle w:val="Heading2"/>
      </w:pPr>
      <w:r>
        <w:t>恢复模型初稿的精修版本</w:t>
      </w:r>
    </w:p>
    <w:p>
      <w:pPr>
        <w:widowControl/>
      </w:pPr>
      <w:r>
        <w:t>先载入同一CBCT，点“导入已完成初稿任务”选择原任务目录，重建同一模型基线；再点“恢复已导出版本”选择精修版本目录。也可用任务内slicer_source/model_draft.seg.nrrd作为原始精标入口，来源标签仍应保留。</w:t>
      </w:r>
    </w:p>
    <w:p>
      <w:pPr>
        <w:widowControl/>
      </w:pPr>
      <w:r>
        <w:t>版本目录不包含CBCT。恢复依赖原图与原始基线，不只是一个ZIP。SHA-256通过仅证明文件一致，不能替代患者身份或解剖复核。不要用Slicer通用Save入口覆盖原文件。</w:t>
      </w:r>
    </w:p>
    <w:p>
      <w:r>
        <w:br w:type="page"/>
      </w:r>
    </w:p>
    <w:p>
      <w:pPr>
        <w:pStyle w:val="Heading1"/>
      </w:pPr>
      <w:r>
        <w:t>10 常见故障与恢复</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tblHeader/>
        </w:trPr>
        <w:tc>
          <w:tcPr>
            <w:tcW w:type="dxa" w:w="3312"/>
            <w:shd w:fill="E8EEF1"/>
            <w:vAlign w:val="center"/>
          </w:tcPr>
          <w:p>
            <w:pPr>
              <w:spacing w:after="80" w:before="60" w:line="264" w:lineRule="auto"/>
            </w:pPr>
            <w:r>
              <w:rPr>
                <w:b/>
                <w:sz w:val="21"/>
              </w:rPr>
              <w:t>现象</w:t>
            </w:r>
          </w:p>
        </w:tc>
        <w:tc>
          <w:tcPr>
            <w:tcW w:type="dxa" w:w="6768"/>
            <w:shd w:fill="E8EEF1"/>
            <w:vAlign w:val="center"/>
          </w:tcPr>
          <w:p>
            <w:pPr>
              <w:spacing w:after="80" w:before="60" w:line="264" w:lineRule="auto"/>
            </w:pPr>
            <w:r>
              <w:rPr>
                <w:b/>
                <w:sz w:val="21"/>
              </w:rPr>
              <w:t>检查与处理</w:t>
            </w:r>
          </w:p>
        </w:tc>
      </w:tr>
      <w:tr>
        <w:trPr>
          <w:cantSplit/>
        </w:trPr>
        <w:tc>
          <w:tcPr>
            <w:tcW w:type="dxa" w:w="3312"/>
            <w:vAlign w:val="center"/>
          </w:tcPr>
          <w:p>
            <w:pPr>
              <w:spacing w:after="80" w:before="60" w:line="264" w:lineRule="auto"/>
            </w:pPr>
            <w:r>
              <w:rPr>
                <w:sz w:val="21"/>
              </w:rPr>
              <w:t>Slicer.exe找不到</w:t>
            </w:r>
          </w:p>
        </w:tc>
        <w:tc>
          <w:tcPr>
            <w:tcW w:type="dxa" w:w="6768"/>
            <w:vAlign w:val="center"/>
          </w:tcPr>
          <w:p>
            <w:pPr>
              <w:spacing w:after="80" w:before="60" w:line="264" w:lineRule="auto"/>
            </w:pPr>
            <w:r>
              <w:rPr>
                <w:sz w:val="21"/>
              </w:rPr>
              <w:t>确认安装位置，用Launch_Slicer_Review.ps1的-SlicerPath参数指定</w:t>
            </w:r>
          </w:p>
        </w:tc>
      </w:tr>
      <w:tr>
        <w:trPr>
          <w:cantSplit/>
        </w:trPr>
        <w:tc>
          <w:tcPr>
            <w:tcW w:type="dxa" w:w="3312"/>
            <w:vAlign w:val="center"/>
          </w:tcPr>
          <w:p>
            <w:pPr>
              <w:spacing w:after="80" w:before="60" w:line="264" w:lineRule="auto"/>
            </w:pPr>
            <w:r>
              <w:rPr>
                <w:sz w:val="21"/>
              </w:rPr>
              <w:t>无法启动WSL后端</w:t>
            </w:r>
          </w:p>
        </w:tc>
        <w:tc>
          <w:tcPr>
            <w:tcW w:type="dxa" w:w="6768"/>
            <w:vAlign w:val="center"/>
          </w:tcPr>
          <w:p>
            <w:pPr>
              <w:spacing w:after="80" w:before="60" w:line="264" w:lineRule="auto"/>
            </w:pPr>
            <w:r>
              <w:rPr>
                <w:sz w:val="21"/>
              </w:rPr>
              <w:t>检查Ubuntu-22.04是否存在，以及config/local_backend.json的Python路径</w:t>
            </w:r>
          </w:p>
        </w:tc>
      </w:tr>
      <w:tr>
        <w:trPr>
          <w:cantSplit/>
        </w:trPr>
        <w:tc>
          <w:tcPr>
            <w:tcW w:type="dxa" w:w="3312"/>
            <w:vAlign w:val="center"/>
          </w:tcPr>
          <w:p>
            <w:pPr>
              <w:spacing w:after="80" w:before="60" w:line="264" w:lineRule="auto"/>
            </w:pPr>
            <w:r>
              <w:rPr>
                <w:sz w:val="21"/>
              </w:rPr>
              <w:t>checkpoint或plans校验失败</w:t>
            </w:r>
          </w:p>
        </w:tc>
        <w:tc>
          <w:tcPr>
            <w:tcW w:type="dxa" w:w="6768"/>
            <w:vAlign w:val="center"/>
          </w:tcPr>
          <w:p>
            <w:pPr>
              <w:spacing w:after="80" w:before="60" w:line="264" w:lineRule="auto"/>
            </w:pPr>
            <w:r>
              <w:rPr>
                <w:sz w:val="21"/>
              </w:rPr>
              <w:t>停止推理，保留异常文件，按固定清单重新下载；不跳过校验</w:t>
            </w:r>
          </w:p>
        </w:tc>
      </w:tr>
      <w:tr>
        <w:trPr>
          <w:cantSplit/>
        </w:trPr>
        <w:tc>
          <w:tcPr>
            <w:tcW w:type="dxa" w:w="3312"/>
            <w:vAlign w:val="center"/>
          </w:tcPr>
          <w:p>
            <w:pPr>
              <w:spacing w:after="80" w:before="60" w:line="264" w:lineRule="auto"/>
            </w:pPr>
            <w:r>
              <w:rPr>
                <w:sz w:val="21"/>
              </w:rPr>
              <w:t>GPU不可用或显存不足</w:t>
            </w:r>
          </w:p>
        </w:tc>
        <w:tc>
          <w:tcPr>
            <w:tcW w:type="dxa" w:w="6768"/>
            <w:vAlign w:val="center"/>
          </w:tcPr>
          <w:p>
            <w:pPr>
              <w:spacing w:after="80" w:before="60" w:line="264" w:lineRule="auto"/>
            </w:pPr>
            <w:r>
              <w:rPr>
                <w:sz w:val="21"/>
              </w:rPr>
              <w:t>检查其他任务及GPU编号；不要未经审查改变模型网格、patch或权重</w:t>
            </w:r>
          </w:p>
        </w:tc>
      </w:tr>
      <w:tr>
        <w:trPr>
          <w:cantSplit/>
        </w:trPr>
        <w:tc>
          <w:tcPr>
            <w:tcW w:type="dxa" w:w="3312"/>
            <w:vAlign w:val="center"/>
          </w:tcPr>
          <w:p>
            <w:pPr>
              <w:spacing w:after="80" w:before="60" w:line="264" w:lineRule="auto"/>
            </w:pPr>
            <w:r>
              <w:rPr>
                <w:sz w:val="21"/>
              </w:rPr>
              <w:t>旧plans格式警告</w:t>
            </w:r>
          </w:p>
        </w:tc>
        <w:tc>
          <w:tcPr>
            <w:tcW w:type="dxa" w:w="6768"/>
            <w:vAlign w:val="center"/>
          </w:tcPr>
          <w:p>
            <w:pPr>
              <w:spacing w:after="80" w:before="60" w:line="264" w:lineRule="auto"/>
            </w:pPr>
            <w:r>
              <w:rPr>
                <w:sz w:val="21"/>
              </w:rPr>
              <w:t>本机兼容载入已验证；不要执行重新规划或训练命令。若伴随异常，查FAILED.json</w:t>
            </w:r>
          </w:p>
        </w:tc>
      </w:tr>
      <w:tr>
        <w:trPr>
          <w:cantSplit/>
        </w:trPr>
        <w:tc>
          <w:tcPr>
            <w:tcW w:type="dxa" w:w="3312"/>
            <w:vAlign w:val="center"/>
          </w:tcPr>
          <w:p>
            <w:pPr>
              <w:spacing w:after="80" w:before="60" w:line="264" w:lineRule="auto"/>
            </w:pPr>
            <w:r>
              <w:rPr>
                <w:sz w:val="21"/>
              </w:rPr>
              <w:t>日志暂时不变</w:t>
            </w:r>
          </w:p>
        </w:tc>
        <w:tc>
          <w:tcPr>
            <w:tcW w:type="dxa" w:w="6768"/>
            <w:vAlign w:val="center"/>
          </w:tcPr>
          <w:p>
            <w:pPr>
              <w:spacing w:after="80" w:before="60" w:line="264" w:lineRule="auto"/>
            </w:pPr>
            <w:r>
              <w:rPr>
                <w:sz w:val="21"/>
              </w:rPr>
              <w:t>预处理、回到原网格和压缩保存阶段可能耗时；先查看进程和资源，不重复点击生成</w:t>
            </w:r>
          </w:p>
        </w:tc>
      </w:tr>
      <w:tr>
        <w:trPr>
          <w:cantSplit/>
        </w:trPr>
        <w:tc>
          <w:tcPr>
            <w:tcW w:type="dxa" w:w="3312"/>
            <w:vAlign w:val="center"/>
          </w:tcPr>
          <w:p>
            <w:pPr>
              <w:spacing w:after="80" w:before="60" w:line="264" w:lineRule="auto"/>
            </w:pPr>
            <w:r>
              <w:rPr>
                <w:sz w:val="21"/>
              </w:rPr>
              <w:t>几何或影像签名不匹配</w:t>
            </w:r>
          </w:p>
        </w:tc>
        <w:tc>
          <w:tcPr>
            <w:tcW w:type="dxa" w:w="6768"/>
            <w:vAlign w:val="center"/>
          </w:tcPr>
          <w:p>
            <w:pPr>
              <w:spacing w:after="80" w:before="60" w:line="264" w:lineRule="auto"/>
            </w:pPr>
            <w:r>
              <w:rPr>
                <w:sz w:val="21"/>
              </w:rPr>
              <w:t>重新选对原图与原任务，核对坐标；不靠强行重采样或换病例ID绕过</w:t>
            </w:r>
          </w:p>
        </w:tc>
      </w:tr>
      <w:tr>
        <w:trPr>
          <w:cantSplit/>
        </w:trPr>
        <w:tc>
          <w:tcPr>
            <w:tcW w:type="dxa" w:w="3312"/>
            <w:vAlign w:val="center"/>
          </w:tcPr>
          <w:p>
            <w:pPr>
              <w:spacing w:after="80" w:before="60" w:line="264" w:lineRule="auto"/>
            </w:pPr>
            <w:r>
              <w:rPr>
                <w:sz w:val="21"/>
              </w:rPr>
              <w:t>复核完成后又变待处理</w:t>
            </w:r>
          </w:p>
        </w:tc>
        <w:tc>
          <w:tcPr>
            <w:tcW w:type="dxa" w:w="6768"/>
            <w:vAlign w:val="center"/>
          </w:tcPr>
          <w:p>
            <w:pPr>
              <w:spacing w:after="80" w:before="60" w:line="264" w:lineRule="auto"/>
            </w:pPr>
            <w:r>
              <w:rPr>
                <w:sz w:val="21"/>
              </w:rPr>
              <w:t>检查掩膜、名称、映射或点位是否变化；对新内容重新复核</w:t>
            </w:r>
          </w:p>
        </w:tc>
      </w:tr>
      <w:tr>
        <w:trPr>
          <w:cantSplit/>
        </w:trPr>
        <w:tc>
          <w:tcPr>
            <w:tcW w:type="dxa" w:w="3312"/>
            <w:vAlign w:val="center"/>
          </w:tcPr>
          <w:p>
            <w:pPr>
              <w:spacing w:after="80" w:before="60" w:line="264" w:lineRule="auto"/>
            </w:pPr>
            <w:r>
              <w:rPr>
                <w:sz w:val="21"/>
              </w:rPr>
              <w:t>模型少了某个类别</w:t>
            </w:r>
          </w:p>
        </w:tc>
        <w:tc>
          <w:tcPr>
            <w:tcW w:type="dxa" w:w="6768"/>
            <w:vAlign w:val="center"/>
          </w:tcPr>
          <w:p>
            <w:pPr>
              <w:spacing w:after="80" w:before="60" w:line="264" w:lineRule="auto"/>
            </w:pPr>
            <w:r>
              <w:rPr>
                <w:sz w:val="21"/>
              </w:rPr>
              <w:t>先确认是否超出FOV或预测遗漏；不自动补造掩膜，不将缺失当阴性</w:t>
            </w:r>
          </w:p>
        </w:tc>
      </w:tr>
      <w:tr>
        <w:trPr>
          <w:cantSplit/>
        </w:trPr>
        <w:tc>
          <w:tcPr>
            <w:tcW w:type="dxa" w:w="3312"/>
            <w:vAlign w:val="center"/>
          </w:tcPr>
          <w:p>
            <w:pPr>
              <w:spacing w:after="80" w:before="60" w:line="264" w:lineRule="auto"/>
            </w:pPr>
            <w:r>
              <w:rPr>
                <w:sz w:val="21"/>
              </w:rPr>
              <w:t>导出失败或.partial目录</w:t>
            </w:r>
          </w:p>
        </w:tc>
        <w:tc>
          <w:tcPr>
            <w:tcW w:type="dxa" w:w="6768"/>
            <w:vAlign w:val="center"/>
          </w:tcPr>
          <w:p>
            <w:pPr>
              <w:spacing w:after="80" w:before="60" w:line="264" w:lineRule="auto"/>
            </w:pPr>
            <w:r>
              <w:rPr>
                <w:sz w:val="21"/>
              </w:rPr>
              <w:t>读取EXPORT_FAILED.txt或FAILED.json；保留旧完整版本，新建任务/版本再处理</w:t>
            </w:r>
          </w:p>
        </w:tc>
      </w:tr>
    </w:tbl>
    <w:p>
      <w:pPr>
        <w:spacing w:after="0"/>
      </w:pPr>
    </w:p>
    <w:p>
      <w:pPr>
        <w:widowControl/>
      </w:pPr>
      <w:r>
        <w:t>提问或报错时提供模块版本、匿名病例ID、所处步骤、错误日志和任务状态；不要把患者影像、姓名或DICOM标识发到公开工单。需要临床判读的薄骨板或缺损问题保留“不确定”，交医生复核。</w:t>
      </w:r>
    </w:p>
    <w:p>
      <w:r>
        <w:br w:type="page"/>
      </w:r>
    </w:p>
    <w:p>
      <w:pPr>
        <w:pStyle w:val="Heading1"/>
      </w:pPr>
      <w:r>
        <w:t>11 验证证据与医生最小验收</w:t>
      </w:r>
    </w:p>
    <w:p>
      <w:pPr>
        <w:pStyle w:val="Heading2"/>
      </w:pPr>
      <w:r>
        <w:t>本轮已验证的范围</w:t>
      </w:r>
    </w:p>
    <w:p>
      <w:pPr>
        <w:widowControl/>
      </w:pPr>
      <w:r>
        <w:t>当前工程证据包括核心规则回归、Slicer真实Qt精修流程、合成薄板与孔洞交换测试、Qt到WSL真实预检，以及一个E:\3D体积的真实预训练推理与Slicer草稿保存。详细计数和代码指纹见validation目录及VALIDATION.md。</w:t>
      </w:r>
    </w:p>
    <w:p>
      <w:pPr>
        <w:widowControl/>
      </w:pPr>
      <w:r>
        <w:t>试跑前后6份原始精标及该影像的241份DICOM内容指纹保持不变。没有用精标给模型打分，没有训练3D模型或比较D/F诊断成绩，也没有访问G04做调参或正式评价。</w:t>
      </w:r>
    </w:p>
    <w:p>
      <w:pPr>
        <w:pStyle w:val="Heading2"/>
      </w:pPr>
      <w:r>
        <w:t>医生操作验收清单</w:t>
      </w:r>
    </w:p>
    <w:p>
      <w:pPr>
        <w:ind w:left="202" w:hanging="202"/>
      </w:pPr>
      <w:r>
        <w:t>1. 核对一个病例的患者、序列、左右和空间位置，确认可顺利启动与生成初稿。</w:t>
      </w:r>
    </w:p>
    <w:p>
      <w:pPr>
        <w:ind w:left="202" w:hanging="202"/>
      </w:pPr>
      <w:r>
        <w:t>2. 确认五类结构与逐牙模式使用各自正确语义，逐牙FDI建议需逐项确认或修正；两者均不提供精细牙槽骨真值。</w:t>
      </w:r>
    </w:p>
    <w:p>
      <w:pPr>
        <w:ind w:left="202" w:hanging="202"/>
      </w:pPr>
      <w:r>
        <w:t>3. 在副本做少量明确增删，检查撤销、基线对照与增删统计。</w:t>
      </w:r>
    </w:p>
    <w:p>
      <w:pPr>
        <w:ind w:left="202" w:hanging="202"/>
      </w:pPr>
      <w:r>
        <w:t>4. 分别看薄骨板、开窗和开裂，至少放置并移动一个疑点。</w:t>
      </w:r>
    </w:p>
    <w:p>
      <w:pPr>
        <w:ind w:left="202" w:hanging="202"/>
      </w:pPr>
      <w:r>
        <w:t>5. 确认修改后旧复核失效，能够填写依据并保留不可判定项。</w:t>
      </w:r>
    </w:p>
    <w:p>
      <w:pPr>
        <w:ind w:left="202" w:hanging="202"/>
      </w:pPr>
      <w:r>
        <w:t>6. 保存、关闭、恢复同一版本，确认影像、掩膜、点位和来源记录一致。</w:t>
      </w:r>
    </w:p>
    <w:p>
      <w:pPr>
        <w:pStyle w:val="Heading2"/>
      </w:pPr>
      <w:r>
        <w:t>需要医生另行确定的规范</w:t>
      </w:r>
    </w:p>
    <w:p>
      <w:pPr>
        <w:widowControl/>
      </w:pPr>
      <w:r>
        <w:t>精细牙槽骨的目标边界、逐牙实例拆分规则、D/F解剖定义、不可判定项与双医生复核方案尚不能由预训练模型替代。当前复核工具可先试用，半自动初稿仍全部作为待确认内容。</w:t>
      </w:r>
    </w:p>
    <w:p>
      <w:pPr>
        <w:widowControl/>
      </w:pPr>
      <w:r>
        <w:t>English acceptance boundary: DentalSegmentator supplies five aggregate classes. The separate ToothSeg mode supplies tooth instances and unconfirmed FDI proposals. Neither mode supplies fine alveolar-bone truth or D/F diagnosis. Engineering tests and one local inference do not establish clinical accuracy. Every draft remains excluded from training until a separate admission process is approved.</w:t>
      </w:r>
    </w:p>
    <w:p>
      <w:r>
        <w:br w:type="page"/>
      </w:r>
    </w:p>
    <w:p>
      <w:pPr>
        <w:pStyle w:val="Heading1"/>
      </w:pPr>
      <w:r>
        <w:t>12 逐牙实例与 FDI 确认操作</w:t>
      </w:r>
    </w:p>
    <w:p>
      <w:pPr>
        <w:widowControl/>
      </w:pPr>
      <w:r>
        <w:t>逐牙模式面向恒牙FDI 11至48。实例ID只是分割对象编号，模型语义类编号也不是FDI。FDI建议经固定dataset.json映射得到，并且与医生最终确认值分别保存。乳牙、混合牙列、种植体或异常牙位的适用性尚未验证。</w:t>
      </w:r>
    </w:p>
    <w:p>
      <w:pPr>
        <w:ind w:left="202" w:hanging="202"/>
      </w:pPr>
      <w:r>
        <w:t>1. 启动Start_Dentra.cmd，载入原始CBCT，选择匿名ID和正确影像。</w:t>
      </w:r>
    </w:p>
    <w:p>
      <w:pPr>
        <w:ind w:left="202" w:hanging="202"/>
      </w:pPr>
      <w:r>
        <w:t>2. 选择“逐牙实例与FDI建议 / ToothSeg”，点击检查部署。确认来源不含G04或2.5D测试病例后生成。</w:t>
      </w:r>
    </w:p>
    <w:p>
      <w:pPr>
        <w:ind w:left="202" w:hanging="202"/>
      </w:pPr>
      <w:r>
        <w:t>3. 逐段检查Instance编号、轮廓和FDI建议。PENDING和unknown都表示待医生确认。核对患者左右，不按屏幕左右直接推断FDI。</w:t>
      </w:r>
    </w:p>
    <w:p>
      <w:pPr>
        <w:ind w:left="202" w:hanging="202"/>
      </w:pPr>
      <w:r>
        <w:t>4. 在组织角色选择“牙”，FDI框填写或修正实际牙位，再点击确认当前段。不确定时保持未确认并在说明记录原因。</w:t>
      </w:r>
    </w:p>
    <w:p>
      <w:pPr>
        <w:ind w:left="202" w:hanging="202"/>
      </w:pPr>
      <w:r>
        <w:t>5. 查看重复FDI或无编号实例。不要为了消除提示而合并或删除碎片；先检查是否同牙断片、邻牙粘连、伪影或预测遗漏。</w:t>
      </w:r>
    </w:p>
    <w:p>
      <w:pPr>
        <w:ind w:left="202" w:hanging="202"/>
      </w:pPr>
      <w:r>
        <w:t>6. 用画笔、绘制、擦除和剪刀在工作副本精修。模型原始建议和原始前景文件始终保留。</w:t>
      </w:r>
    </w:p>
    <w:p>
      <w:pPr>
        <w:ind w:left="202" w:hanging="202"/>
      </w:pPr>
      <w:r>
        <w:t>7. 分别完成薄骨板、开窗、开裂及已放置疑点的人工复核，运行质控后导出新版本。仍不确定可导出IN_PROGRESS草稿。</w:t>
      </w:r>
    </w:p>
    <w:p>
      <w:pPr>
        <w:pStyle w:val="Heading2"/>
      </w:pPr>
      <w:r>
        <w:t>重复编号和未知编号</w:t>
      </w:r>
    </w:p>
    <w:p>
      <w:pPr>
        <w:widowControl/>
      </w:pPr>
      <w:r>
        <w:t>同一FDI建议可以出现在多个独立实例上。模型建议不会导致自动合并，医生确认后的重复FDI会阻止REVIEW_COMPLETE。医生应根据原图修正错误牙位；若确为同牙多个碎片或漏掉新牙体，当前模块不支持改变segment数量，需记录待处理并由工程人员准备保留来源的拆分合并流程，不能靠改成其他组织角色绕过。</w:t>
      </w:r>
    </w:p>
    <w:p>
      <w:pPr>
        <w:widowControl/>
      </w:pPr>
      <w:r>
        <w:t>hard_vote_fraction只反映实例内离散语义投票比例，不是校准置信度、正确率或伪标签准入阈值。即使投票为1，也必须人工确认。对背景占优、票数并列或无核心片段，保留unknown或风险标记。</w:t>
      </w:r>
    </w:p>
    <w:p>
      <w:pPr>
        <w:pStyle w:val="Heading2"/>
      </w:pPr>
      <w:r>
        <w:t>与骨结构一起复核</w:t>
      </w:r>
    </w:p>
    <w:p>
      <w:pPr>
        <w:widowControl/>
      </w:pPr>
      <w:r>
        <w:t>ToothSeg不输出牙槽骨。需要颌骨参考时可另建五类结构任务或加载已有医生骨标注；不得把牙实例当骨、把整个颌骨改为精细牙槽骨真值。当前自动导入每次只建立一种初稿会话，先导出并关闭，再打开另一任务。不同任务的原图必须人工确认一致。</w:t>
      </w:r>
    </w:p>
    <w:p>
      <w:r>
        <w:br w:type="page"/>
      </w:r>
    </w:p>
    <w:p>
      <w:pPr>
        <w:pStyle w:val="Heading1"/>
      </w:pPr>
      <w:r>
        <w:t>13 ToothSeg 模型与保守组装限制</w:t>
      </w:r>
    </w:p>
    <w:p>
      <w:pPr>
        <w:widowControl/>
      </w:pPr>
      <w:r>
        <w:t>本轮固定ToothSeg官方源码提交b29d1017fa124f89645fa56f98649e3f3f43bdb0及Zenodo 14893540公开双分支权重。下载核对920019129字节、公开MD5、SHA256与ZIP CRC；加载前核对checkpoint、plans和dataset清单。权重单独下载，不包含在GitHub或工具ZIP中。</w:t>
      </w:r>
    </w:p>
    <w:p>
      <w:pPr>
        <w:pStyle w:val="Heading2"/>
      </w:pPr>
      <w:r>
        <w:t>保留前景的组装规则</w:t>
      </w:r>
    </w:p>
    <w:p>
      <w:pPr>
        <w:widowControl/>
      </w:pPr>
      <w:r>
        <w:t>边界核心分支在原始CBCT格点输出后，以六连通核心作标记，只在预测前景内分配边界。没有核心的独立前景也保留为实例。软件断言实例前景与原始边界核心前景逐体素相等；Slicer导入时再次验证。小碎片、孔洞和重复编号不被自动删除、填补或合并。</w:t>
      </w:r>
    </w:p>
    <w:p>
      <w:pPr>
        <w:widowControl/>
      </w:pPr>
      <w:r>
        <w:t>这与官方完整后处理不同：官方流程可按体积删除小实例、重分配碎片、使用概率与牙弓约束修正编号。Dentra不用这些清理与搜索步骤，采用离散语义投票，因此不能引用论文精度作为本工具精度。两分支内部的归一化与重采样仍按冻结plans执行，不代表模型没有改变影像细节。</w:t>
      </w:r>
    </w:p>
    <w:p>
      <w:pPr>
        <w:pStyle w:val="Heading2"/>
      </w:pPr>
      <w:r>
        <w:t>预训练权重仍有解剖局限</w:t>
      </w:r>
    </w:p>
    <w:p>
      <w:pPr>
        <w:widowControl/>
      </w:pPr>
      <w:r>
        <w:t>官方训练数据转换对牙体参考mask调用填洞。Dentra不运行该转换、不训练、不对本地mask填洞，但权重可能继承该标注习惯。保留模型预测前景不等于保证真实缺损完整。薄骨板、骨开窗和开裂始终需要独立人工查看原始影像。</w:t>
      </w:r>
    </w:p>
    <w:p>
      <w:pPr>
        <w:pStyle w:val="Heading2"/>
      </w:pPr>
      <w:r>
        <w:t>可验证范围与仍未证明的内容</w:t>
      </w:r>
    </w:p>
    <w:p>
      <w:pPr>
        <w:widowControl/>
      </w:pPr>
      <w:r>
        <w:t>本机曾在同时展开33个原网格浮点通道时遇到高内存开销。现改为逐通道调用同一冻结重采样函数并逐步求argmax；16组合成数值对照的原网格标签完全一致。没有改权重、spacing、patch或镜像增强。失败任务保留，新任务另建；日志中的native_channel_export是正常输出阶段。</w:t>
      </w:r>
    </w:p>
    <w:p>
      <w:pPr>
        <w:widowControl/>
      </w:pPr>
      <w:r>
        <w:t>固定合成测试检查前景、孔洞、小碎片、重复和未知FDI、来源哈希、坐标及版本恢复。一份本地影像用于双分支执行和Slicer往返工程检查，结果以validation中的实际报告为准。未进行Dice、FDI准确率、D/F诊断成绩或独立外部临床验证；未使用G04调参或正式评价。</w:t>
      </w:r>
    </w:p>
    <w:p>
      <w:pPr>
        <w:widowControl/>
      </w:pPr>
      <w:r>
        <w:t>Archived custom-trainer compatibility is handled by constructing the exact saved plans architecture and strictly loading every tensor key. Checkpoint mirroring axes are retained. This verifies load compatibility, not numerical equivalence to the original ToothSeg software stack. No base research environment, checkpoint or 2.5D code is patched.</w:t>
      </w:r>
    </w:p>
    <w:p>
      <w:r>
        <w:br w:type="page"/>
      </w:r>
    </w:p>
    <w:p>
      <w:pPr>
        <w:pStyle w:val="Heading1"/>
      </w:pPr>
      <w:r>
        <w:t>14 工程接管与参考资料</w:t>
      </w:r>
    </w:p>
    <w:p>
      <w:pPr>
        <w:pStyle w:val="Heading2"/>
      </w:pPr>
      <w:r>
        <w:t>文件入口</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5256"/>
      </w:tblGrid>
      <w:tr>
        <w:trPr>
          <w:tblHeader/>
        </w:trPr>
        <w:tc>
          <w:tcPr>
            <w:tcW w:type="dxa" w:w="4824"/>
            <w:shd w:fill="E8EEF1"/>
            <w:vAlign w:val="center"/>
          </w:tcPr>
          <w:p>
            <w:pPr>
              <w:spacing w:after="80" w:before="60" w:line="264" w:lineRule="auto"/>
            </w:pPr>
            <w:r>
              <w:rPr>
                <w:b/>
                <w:sz w:val="21"/>
              </w:rPr>
              <w:t>文件</w:t>
            </w:r>
          </w:p>
        </w:tc>
        <w:tc>
          <w:tcPr>
            <w:tcW w:type="dxa" w:w="5256"/>
            <w:shd w:fill="E8EEF1"/>
            <w:vAlign w:val="center"/>
          </w:tcPr>
          <w:p>
            <w:pPr>
              <w:spacing w:after="80" w:before="60" w:line="264" w:lineRule="auto"/>
            </w:pPr>
            <w:r>
              <w:rPr>
                <w:b/>
                <w:sz w:val="21"/>
              </w:rPr>
              <w:t>作用</w:t>
            </w:r>
          </w:p>
        </w:tc>
      </w:tr>
      <w:tr>
        <w:trPr>
          <w:cantSplit/>
        </w:trPr>
        <w:tc>
          <w:tcPr>
            <w:tcW w:type="dxa" w:w="4824"/>
            <w:vAlign w:val="center"/>
          </w:tcPr>
          <w:p>
            <w:pPr>
              <w:spacing w:after="80" w:before="60" w:line="264" w:lineRule="auto"/>
            </w:pPr>
            <w:r>
              <w:rPr>
                <w:sz w:val="21"/>
              </w:rPr>
              <w:t>CBCTSegReview.py</w:t>
            </w:r>
          </w:p>
        </w:tc>
        <w:tc>
          <w:tcPr>
            <w:tcW w:type="dxa" w:w="5256"/>
            <w:vAlign w:val="center"/>
          </w:tcPr>
          <w:p>
            <w:pPr>
              <w:spacing w:after="80" w:before="60" w:line="264" w:lineRule="auto"/>
            </w:pPr>
            <w:r>
              <w:rPr>
                <w:sz w:val="21"/>
              </w:rPr>
              <w:t>Slicer界面、异步任务、精修与复核</w:t>
            </w:r>
          </w:p>
        </w:tc>
      </w:tr>
      <w:tr>
        <w:trPr>
          <w:cantSplit/>
        </w:trPr>
        <w:tc>
          <w:tcPr>
            <w:tcW w:type="dxa" w:w="4824"/>
            <w:vAlign w:val="center"/>
          </w:tcPr>
          <w:p>
            <w:pPr>
              <w:spacing w:after="80" w:before="60" w:line="264" w:lineRule="auto"/>
            </w:pPr>
            <w:r>
              <w:rPr>
                <w:sz w:val="21"/>
              </w:rPr>
              <w:t>CBCTSegReviewLib/draft_bridge.py</w:t>
            </w:r>
          </w:p>
        </w:tc>
        <w:tc>
          <w:tcPr>
            <w:tcW w:type="dxa" w:w="5256"/>
            <w:vAlign w:val="center"/>
          </w:tcPr>
          <w:p>
            <w:pPr>
              <w:spacing w:after="80" w:before="60" w:line="264" w:lineRule="auto"/>
            </w:pPr>
            <w:r>
              <w:rPr>
                <w:sz w:val="21"/>
              </w:rPr>
              <w:t>本地影像导出、WSL命令及来源校验后导入</w:t>
            </w:r>
          </w:p>
        </w:tc>
      </w:tr>
      <w:tr>
        <w:trPr>
          <w:cantSplit/>
        </w:trPr>
        <w:tc>
          <w:tcPr>
            <w:tcW w:type="dxa" w:w="4824"/>
            <w:vAlign w:val="center"/>
          </w:tcPr>
          <w:p>
            <w:pPr>
              <w:spacing w:after="80" w:before="60" w:line="264" w:lineRule="auto"/>
            </w:pPr>
            <w:r>
              <w:rPr>
                <w:sz w:val="21"/>
              </w:rPr>
              <w:t>backend/infer.py</w:t>
            </w:r>
          </w:p>
        </w:tc>
        <w:tc>
          <w:tcPr>
            <w:tcW w:type="dxa" w:w="5256"/>
            <w:vAlign w:val="center"/>
          </w:tcPr>
          <w:p>
            <w:pPr>
              <w:spacing w:after="80" w:before="60" w:line="264" w:lineRule="auto"/>
            </w:pPr>
            <w:r>
              <w:rPr>
                <w:sz w:val="21"/>
              </w:rPr>
              <w:t>固定预训练权重推理；没有训练入口</w:t>
            </w:r>
          </w:p>
        </w:tc>
      </w:tr>
      <w:tr>
        <w:trPr>
          <w:cantSplit/>
        </w:trPr>
        <w:tc>
          <w:tcPr>
            <w:tcW w:type="dxa" w:w="4824"/>
            <w:vAlign w:val="center"/>
          </w:tcPr>
          <w:p>
            <w:pPr>
              <w:spacing w:after="80" w:before="60" w:line="264" w:lineRule="auto"/>
            </w:pPr>
            <w:r>
              <w:rPr>
                <w:sz w:val="21"/>
              </w:rPr>
              <w:t>config/draft_protocol.json</w:t>
            </w:r>
          </w:p>
        </w:tc>
        <w:tc>
          <w:tcPr>
            <w:tcW w:type="dxa" w:w="5256"/>
            <w:vAlign w:val="center"/>
          </w:tcPr>
          <w:p>
            <w:pPr>
              <w:spacing w:after="80" w:before="60" w:line="264" w:lineRule="auto"/>
            </w:pPr>
            <w:r>
              <w:rPr>
                <w:sz w:val="21"/>
              </w:rPr>
              <w:t>冻结算法设置与复核约束</w:t>
            </w:r>
          </w:p>
        </w:tc>
      </w:tr>
      <w:tr>
        <w:trPr>
          <w:cantSplit/>
        </w:trPr>
        <w:tc>
          <w:tcPr>
            <w:tcW w:type="dxa" w:w="4824"/>
            <w:vAlign w:val="center"/>
          </w:tcPr>
          <w:p>
            <w:pPr>
              <w:spacing w:after="80" w:before="60" w:line="264" w:lineRule="auto"/>
            </w:pPr>
            <w:r>
              <w:rPr>
                <w:sz w:val="21"/>
              </w:rPr>
              <w:t>config/model_manifest.json</w:t>
            </w:r>
          </w:p>
        </w:tc>
        <w:tc>
          <w:tcPr>
            <w:tcW w:type="dxa" w:w="5256"/>
            <w:vAlign w:val="center"/>
          </w:tcPr>
          <w:p>
            <w:pPr>
              <w:spacing w:after="80" w:before="60" w:line="264" w:lineRule="auto"/>
            </w:pPr>
            <w:r>
              <w:rPr>
                <w:sz w:val="21"/>
              </w:rPr>
              <w:t>模型、plans与checkpoint校验清单</w:t>
            </w:r>
          </w:p>
        </w:tc>
      </w:tr>
      <w:tr>
        <w:trPr>
          <w:cantSplit/>
        </w:trPr>
        <w:tc>
          <w:tcPr>
            <w:tcW w:type="dxa" w:w="4824"/>
            <w:vAlign w:val="center"/>
          </w:tcPr>
          <w:p>
            <w:pPr>
              <w:spacing w:after="80" w:before="60" w:line="264" w:lineRule="auto"/>
            </w:pPr>
            <w:r>
              <w:rPr>
                <w:sz w:val="21"/>
              </w:rPr>
              <w:t>config/local_backend.json</w:t>
            </w:r>
          </w:p>
        </w:tc>
        <w:tc>
          <w:tcPr>
            <w:tcW w:type="dxa" w:w="5256"/>
            <w:vAlign w:val="center"/>
          </w:tcPr>
          <w:p>
            <w:pPr>
              <w:spacing w:after="80" w:before="60" w:line="264" w:lineRule="auto"/>
            </w:pPr>
            <w:r>
              <w:rPr>
                <w:sz w:val="21"/>
              </w:rPr>
              <w:t>本机WSL与环境路径</w:t>
            </w:r>
          </w:p>
        </w:tc>
      </w:tr>
      <w:tr>
        <w:trPr>
          <w:cantSplit/>
        </w:trPr>
        <w:tc>
          <w:tcPr>
            <w:tcW w:type="dxa" w:w="4824"/>
            <w:vAlign w:val="center"/>
          </w:tcPr>
          <w:p>
            <w:pPr>
              <w:spacing w:after="80" w:before="60" w:line="264" w:lineRule="auto"/>
            </w:pPr>
            <w:r>
              <w:rPr>
                <w:sz w:val="21"/>
              </w:rPr>
              <w:t>tools/install_backend.py</w:t>
            </w:r>
          </w:p>
        </w:tc>
        <w:tc>
          <w:tcPr>
            <w:tcW w:type="dxa" w:w="5256"/>
            <w:vAlign w:val="center"/>
          </w:tcPr>
          <w:p>
            <w:pPr>
              <w:spacing w:after="80" w:before="60" w:line="264" w:lineRule="auto"/>
            </w:pPr>
            <w:r>
              <w:rPr>
                <w:sz w:val="21"/>
              </w:rPr>
              <w:t>一次性部署及固定文件校验</w:t>
            </w:r>
          </w:p>
        </w:tc>
      </w:tr>
      <w:tr>
        <w:trPr>
          <w:cantSplit/>
        </w:trPr>
        <w:tc>
          <w:tcPr>
            <w:tcW w:type="dxa" w:w="4824"/>
            <w:vAlign w:val="center"/>
          </w:tcPr>
          <w:p>
            <w:pPr>
              <w:spacing w:after="80" w:before="60" w:line="264" w:lineRule="auto"/>
            </w:pPr>
            <w:r>
              <w:rPr>
                <w:sz w:val="21"/>
              </w:rPr>
              <w:t>CODEX_START_PROMPT.txt</w:t>
            </w:r>
          </w:p>
        </w:tc>
        <w:tc>
          <w:tcPr>
            <w:tcW w:type="dxa" w:w="5256"/>
            <w:vAlign w:val="center"/>
          </w:tcPr>
          <w:p>
            <w:pPr>
              <w:spacing w:after="80" w:before="60" w:line="264" w:lineRule="auto"/>
            </w:pPr>
            <w:r>
              <w:rPr>
                <w:sz w:val="21"/>
              </w:rPr>
              <w:t>后续会话接管约束</w:t>
            </w:r>
          </w:p>
        </w:tc>
      </w:tr>
    </w:tbl>
    <w:p>
      <w:pPr>
        <w:spacing w:after="0"/>
      </w:pPr>
    </w:p>
    <w:p>
      <w:pPr>
        <w:widowControl/>
      </w:pPr>
      <w:r>
        <w:t>逐牙新增入口：backend/toothseg_infer.py执行双分支；CBCTSegReviewLib/toothseg.py执行保守组装与FDI提议；config/toothseg_protocol.json和toothseg_manifest.json分别锁定协议与权重。所有模型初稿保持待确认。</w:t>
      </w:r>
    </w:p>
    <w:p>
      <w:pPr>
        <w:widowControl/>
      </w:pPr>
      <w:r>
        <w:t>独立分支为feature/dentra-toothseg-fdi-v0.3。修改掩膜读写、来源校验、几何或复核逻辑后，重跑相应核心与Slicer测试；不能只沿用旧报告。代码包与Git bundle不含患者图像、精标、模型权重或任务目录。</w:t>
      </w:r>
    </w:p>
    <w:p>
      <w:pPr>
        <w:pStyle w:val="Heading2"/>
      </w:pPr>
      <w:r>
        <w:t>英文状态词</w:t>
      </w:r>
    </w:p>
    <w:p>
      <w:pPr>
        <w:widowControl/>
      </w:pPr>
      <w:r>
        <w:t>READY：本机部署检查通过。MODEL_DRAFT：模型初稿。IN_PROGRESS：待完成。REVIEW_COMPLETE：本工具复核记录齐备。CANCELLED：取消。FAILED：未成功发布结果。任何状态均不自动代表临床有效或训练准入。</w:t>
      </w:r>
    </w:p>
    <w:p>
      <w:pPr>
        <w:pStyle w:val="Heading2"/>
      </w:pPr>
      <w:r>
        <w:t>参考资料</w:t>
      </w:r>
    </w:p>
    <w:p>
      <w:pPr>
        <w:widowControl/>
      </w:pPr>
      <w:r>
        <w:t>[1] DentalSegmentator官方实现与许可：https://github.com/gaudot/SlicerDentalSegmentator</w:t>
      </w:r>
    </w:p>
    <w:p>
      <w:pPr>
        <w:widowControl/>
      </w:pPr>
      <w:r>
        <w:t>[2] 预训练权重与CC BY 4.0记录：https://zenodo.org/records/10829675</w:t>
      </w:r>
    </w:p>
    <w:p>
      <w:pPr>
        <w:widowControl/>
      </w:pPr>
      <w:r>
        <w:t>[3] nnU-Net官方代码与推理接口：https://github.com/MIC-DKFZ/nnUNet</w:t>
      </w:r>
    </w:p>
    <w:p>
      <w:pPr>
        <w:widowControl/>
      </w:pPr>
      <w:r>
        <w:t>[4] Slicer Segment Editor官方操作说明：https://slicer.readthedocs.io/en/latest/user_guide/modules/segmenteditor.html</w:t>
      </w:r>
    </w:p>
    <w:p>
      <w:pPr>
        <w:widowControl/>
      </w:pPr>
      <w:r>
        <w:t>[5] ToothSeg官方实现与权重：https://github.com/MIC-DKFZ/ToothSeg ；https://zenodo.org/records/14893540</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Dentra v0.3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83" w:lineRule="auto"/>
      <w:outlineLvl w:val="0"/>
    </w:pPr>
    <w:rPr>
      <w:rFonts w:asciiTheme="majorHAnsi" w:eastAsiaTheme="majorEastAsia" w:hAnsiTheme="majorHAnsi" w:cstheme="majorBidi" w:ascii="Arial" w:hAnsi="Arial"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3" w:lineRule="auto"/>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3" w:lineRule="auto"/>
      <w:contextualSpacing/>
    </w:pPr>
    <w:rPr>
      <w:rFonts w:asciiTheme="majorHAnsi" w:eastAsiaTheme="majorEastAsia" w:hAnsiTheme="majorHAnsi" w:cstheme="majorBidi" w:ascii="Arial" w:hAnsi="Arial" w:eastAsia="Microsoft YaHe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3" w:lineRule="auto"/>
    </w:pPr>
    <w:rPr>
      <w:rFonts w:asciiTheme="majorHAnsi" w:eastAsiaTheme="majorEastAsia" w:hAnsiTheme="majorHAnsi" w:cstheme="majorBidi" w:ascii="Arial" w:hAnsi="Arial" w:eastAsia="Microsoft YaHe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Dentra 逐牙初稿与 Slicer 精修操作指南</dc:title>
  <dc:subject>Local pretrained drafts and expert segmentation review</dc:subject>
  <dc:creator>CBCT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